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DD6AA" w14:textId="77777777" w:rsidR="000956E5" w:rsidRDefault="009C1A8B" w:rsidP="00E94B01">
      <w:pPr>
        <w:pStyle w:val="PSNumHeading"/>
      </w:pPr>
      <w:r>
        <w:t>WORKSHEET # 1</w:t>
      </w:r>
    </w:p>
    <w:p w14:paraId="1F2DD6AB" w14:textId="77777777" w:rsidR="001E1FDC" w:rsidRPr="00E94B01" w:rsidRDefault="009C1A8B" w:rsidP="00E94B01">
      <w:pPr>
        <w:pStyle w:val="PSNumHeading"/>
        <w:rPr>
          <w:b w:val="0"/>
        </w:rPr>
      </w:pPr>
      <w:r>
        <w:t xml:space="preserve">Shipping and Delivery: </w:t>
      </w:r>
      <w:r w:rsidRPr="00E94B01">
        <w:rPr>
          <w:b w:val="0"/>
        </w:rPr>
        <w:t>Bid prices and orders shall be F.O.B. DESTINATION, PREPAID AND ALLOWED (included in the price of bid), which means delivered to a State agency’s receiving dock or other designated point as specified in this request without additional charge (including all samples). All orders shall ship complete; No partial deliveries should be accepted.</w:t>
      </w:r>
    </w:p>
    <w:p w14:paraId="1F2DD6AC" w14:textId="77777777" w:rsidR="001E1FDC" w:rsidRPr="00E94B01" w:rsidRDefault="00772136" w:rsidP="00E94B01">
      <w:pPr>
        <w:pStyle w:val="PSNumHeading"/>
        <w:rPr>
          <w:b w:val="0"/>
        </w:rPr>
      </w:pPr>
      <w:r w:rsidRPr="00E94B01">
        <w:rPr>
          <w:b w:val="0"/>
        </w:rPr>
        <w:t>Shipments shall be made in order to arrive at the destination at a satisfactory time for unloading during receiving hours. All cartons shall be clearly marked with the vendor name, description, purchase order number and sizes included. If delays in delivery are anticipated, the Vendor shall immediately notify the ordering agency of the revised delivery date. The order may be canceled if delivery time is unsatisfactory. The contractor shall inform both agencies designees (Department of Administration AND ordering Agency Purchasing agent contact) of any supply or delivery problems. Continued delivery problems may result in termination of the contract. If the Vendor fails to deliver the product within the required delivery time indicated on the Purchase order, the State reserves the right to cancel the order, purchase the product (with associated applications) from the open market</w:t>
      </w:r>
      <w:r w:rsidR="001E1FDC" w:rsidRPr="00E94B01">
        <w:rPr>
          <w:b w:val="0"/>
        </w:rPr>
        <w:t xml:space="preserve"> and charge back to the Vendor the difference between the contract price and the open market price.</w:t>
      </w:r>
      <w:r w:rsidRPr="00E94B01">
        <w:rPr>
          <w:b w:val="0"/>
        </w:rPr>
        <w:t xml:space="preserve"> </w:t>
      </w:r>
    </w:p>
    <w:p w14:paraId="1F2DD6AD" w14:textId="77777777" w:rsidR="009C1A8B" w:rsidRDefault="001E1FDC" w:rsidP="00E94B01">
      <w:pPr>
        <w:pStyle w:val="PSNumHeading"/>
      </w:pPr>
      <w:r w:rsidRPr="00E94B01">
        <w:rPr>
          <w:b w:val="0"/>
        </w:rPr>
        <w:t>Emergency individual orders for personnel and recruit orders will be placed on an as-needed basis and shall be delivered no later than 30 calendar days after receipt of order (ARO).</w:t>
      </w:r>
      <w:r w:rsidR="00772136">
        <w:t xml:space="preserve"> </w:t>
      </w:r>
    </w:p>
    <w:p w14:paraId="1F2DD6AE" w14:textId="77777777" w:rsidR="002E7669" w:rsidRDefault="002E7669" w:rsidP="00E94B01">
      <w:pPr>
        <w:pStyle w:val="PSNumHeading"/>
      </w:pPr>
    </w:p>
    <w:p w14:paraId="1F2DD6AF" w14:textId="77777777" w:rsidR="002E7669" w:rsidRDefault="00E94B01" w:rsidP="00E94B01">
      <w:pPr>
        <w:pStyle w:val="PSNumHeading"/>
        <w:spacing w:before="0"/>
      </w:pPr>
      <w:r>
        <w:t xml:space="preserve">Delivery of items                                 </w:t>
      </w:r>
      <w:r w:rsidR="002E7669">
        <w:t xml:space="preserve">                   </w:t>
      </w:r>
      <w:r>
        <w:t xml:space="preserve">       </w:t>
      </w:r>
      <w:r w:rsidR="002E7669">
        <w:t xml:space="preserve">                                                      </w:t>
      </w:r>
      <w:r>
        <w:t xml:space="preserve"> Calendar days </w:t>
      </w:r>
    </w:p>
    <w:p w14:paraId="1F2DD6B0" w14:textId="77777777" w:rsidR="00E94B01" w:rsidRDefault="002E7669" w:rsidP="00E94B01">
      <w:pPr>
        <w:pStyle w:val="PSNumHeading"/>
        <w:spacing w:before="0"/>
      </w:pPr>
      <w:r>
        <w:t xml:space="preserve">                                                                                                                                                       </w:t>
      </w:r>
      <w:r w:rsidR="00E94B01">
        <w:t xml:space="preserve">ARO                                                        </w:t>
      </w:r>
      <w:r>
        <w:t xml:space="preserve">                           </w:t>
      </w:r>
    </w:p>
    <w:tbl>
      <w:tblPr>
        <w:tblStyle w:val="TableGrid"/>
        <w:tblW w:w="0" w:type="auto"/>
        <w:tblLook w:val="04A0" w:firstRow="1" w:lastRow="0" w:firstColumn="1" w:lastColumn="0" w:noHBand="0" w:noVBand="1"/>
      </w:tblPr>
      <w:tblGrid>
        <w:gridCol w:w="8028"/>
        <w:gridCol w:w="1440"/>
      </w:tblGrid>
      <w:tr w:rsidR="002E7669" w14:paraId="1F2DD6B3" w14:textId="77777777" w:rsidTr="002E7669">
        <w:tc>
          <w:tcPr>
            <w:tcW w:w="8028" w:type="dxa"/>
          </w:tcPr>
          <w:p w14:paraId="1F2DD6B1" w14:textId="77777777" w:rsidR="002E7669" w:rsidRPr="002E7669" w:rsidRDefault="002E7669" w:rsidP="00E94B01">
            <w:pPr>
              <w:pStyle w:val="PSNumHeading"/>
              <w:rPr>
                <w:b w:val="0"/>
                <w:szCs w:val="20"/>
              </w:rPr>
            </w:pPr>
            <w:r w:rsidRPr="002E7669">
              <w:rPr>
                <w:b w:val="0"/>
                <w:szCs w:val="20"/>
              </w:rPr>
              <w:t>Items not requiring applications (embroidery, patches, namestrips etc.)</w:t>
            </w:r>
          </w:p>
        </w:tc>
        <w:tc>
          <w:tcPr>
            <w:tcW w:w="1440" w:type="dxa"/>
          </w:tcPr>
          <w:p w14:paraId="1F2DD6B2" w14:textId="77777777" w:rsidR="002E7669" w:rsidRPr="002E7669" w:rsidRDefault="002E7669" w:rsidP="00E94B01">
            <w:pPr>
              <w:pStyle w:val="PSNumHeading"/>
              <w:jc w:val="center"/>
              <w:rPr>
                <w:b w:val="0"/>
                <w:szCs w:val="20"/>
              </w:rPr>
            </w:pPr>
          </w:p>
        </w:tc>
      </w:tr>
      <w:tr w:rsidR="002E7669" w14:paraId="1F2DD6B6" w14:textId="77777777" w:rsidTr="002E7669">
        <w:tc>
          <w:tcPr>
            <w:tcW w:w="8028" w:type="dxa"/>
          </w:tcPr>
          <w:p w14:paraId="1F2DD6B4" w14:textId="77777777" w:rsidR="002E7669" w:rsidRPr="002E7669" w:rsidRDefault="002E7669" w:rsidP="00E94B01">
            <w:pPr>
              <w:pStyle w:val="PSNumHeading"/>
              <w:rPr>
                <w:b w:val="0"/>
                <w:szCs w:val="20"/>
              </w:rPr>
            </w:pPr>
            <w:r w:rsidRPr="002E7669">
              <w:rPr>
                <w:b w:val="0"/>
                <w:szCs w:val="20"/>
              </w:rPr>
              <w:t>Completed item</w:t>
            </w:r>
            <w:r>
              <w:rPr>
                <w:b w:val="0"/>
                <w:szCs w:val="20"/>
              </w:rPr>
              <w:t>s requiring embroidery</w:t>
            </w:r>
          </w:p>
        </w:tc>
        <w:tc>
          <w:tcPr>
            <w:tcW w:w="1440" w:type="dxa"/>
          </w:tcPr>
          <w:p w14:paraId="1F2DD6B5" w14:textId="77777777" w:rsidR="002E7669" w:rsidRPr="002E7669" w:rsidRDefault="002E7669" w:rsidP="00E94B01">
            <w:pPr>
              <w:pStyle w:val="PSNumHeading"/>
              <w:rPr>
                <w:b w:val="0"/>
                <w:szCs w:val="20"/>
              </w:rPr>
            </w:pPr>
          </w:p>
        </w:tc>
      </w:tr>
      <w:tr w:rsidR="002E7669" w14:paraId="1F2DD6B9" w14:textId="77777777" w:rsidTr="002E7669">
        <w:tc>
          <w:tcPr>
            <w:tcW w:w="8028" w:type="dxa"/>
          </w:tcPr>
          <w:p w14:paraId="1F2DD6B7" w14:textId="77777777" w:rsidR="002E7669" w:rsidRPr="002E7669" w:rsidRDefault="002E7669" w:rsidP="00E94B01">
            <w:pPr>
              <w:pStyle w:val="PSNumHeading"/>
              <w:rPr>
                <w:b w:val="0"/>
                <w:szCs w:val="20"/>
              </w:rPr>
            </w:pPr>
            <w:r>
              <w:rPr>
                <w:b w:val="0"/>
                <w:szCs w:val="20"/>
              </w:rPr>
              <w:t>Completed items requiring hemming</w:t>
            </w:r>
          </w:p>
        </w:tc>
        <w:tc>
          <w:tcPr>
            <w:tcW w:w="1440" w:type="dxa"/>
          </w:tcPr>
          <w:p w14:paraId="1F2DD6B8" w14:textId="77777777" w:rsidR="002E7669" w:rsidRPr="002E7669" w:rsidRDefault="002E7669" w:rsidP="00E94B01">
            <w:pPr>
              <w:pStyle w:val="PSNumHeading"/>
              <w:rPr>
                <w:b w:val="0"/>
                <w:szCs w:val="20"/>
              </w:rPr>
            </w:pPr>
          </w:p>
        </w:tc>
      </w:tr>
      <w:tr w:rsidR="002E7669" w14:paraId="1F2DD6BC" w14:textId="77777777" w:rsidTr="002E7669">
        <w:tc>
          <w:tcPr>
            <w:tcW w:w="8028" w:type="dxa"/>
          </w:tcPr>
          <w:p w14:paraId="1F2DD6BA" w14:textId="77777777" w:rsidR="002E7669" w:rsidRPr="002E7669" w:rsidRDefault="002E7669" w:rsidP="00E94B01">
            <w:pPr>
              <w:pStyle w:val="PSNumHeading"/>
              <w:rPr>
                <w:b w:val="0"/>
                <w:szCs w:val="20"/>
              </w:rPr>
            </w:pPr>
            <w:r>
              <w:rPr>
                <w:b w:val="0"/>
                <w:szCs w:val="20"/>
              </w:rPr>
              <w:t xml:space="preserve">Completed items requiring </w:t>
            </w:r>
            <w:r w:rsidR="003270A7">
              <w:rPr>
                <w:b w:val="0"/>
                <w:szCs w:val="20"/>
              </w:rPr>
              <w:t>patches</w:t>
            </w:r>
          </w:p>
        </w:tc>
        <w:tc>
          <w:tcPr>
            <w:tcW w:w="1440" w:type="dxa"/>
          </w:tcPr>
          <w:p w14:paraId="1F2DD6BB" w14:textId="77777777" w:rsidR="002E7669" w:rsidRPr="002E7669" w:rsidRDefault="002E7669" w:rsidP="00E94B01">
            <w:pPr>
              <w:pStyle w:val="PSNumHeading"/>
              <w:rPr>
                <w:b w:val="0"/>
                <w:szCs w:val="20"/>
              </w:rPr>
            </w:pPr>
          </w:p>
        </w:tc>
      </w:tr>
      <w:tr w:rsidR="002E7669" w14:paraId="1F2DD6BF" w14:textId="77777777" w:rsidTr="002E7669">
        <w:tc>
          <w:tcPr>
            <w:tcW w:w="8028" w:type="dxa"/>
          </w:tcPr>
          <w:p w14:paraId="1F2DD6BD" w14:textId="77777777" w:rsidR="002E7669" w:rsidRPr="002E7669" w:rsidRDefault="003270A7" w:rsidP="00E94B01">
            <w:pPr>
              <w:pStyle w:val="PSNumHeading"/>
              <w:rPr>
                <w:b w:val="0"/>
                <w:szCs w:val="20"/>
              </w:rPr>
            </w:pPr>
            <w:r>
              <w:rPr>
                <w:b w:val="0"/>
                <w:szCs w:val="20"/>
              </w:rPr>
              <w:t xml:space="preserve">Completed items requiring silk screening </w:t>
            </w:r>
          </w:p>
        </w:tc>
        <w:tc>
          <w:tcPr>
            <w:tcW w:w="1440" w:type="dxa"/>
          </w:tcPr>
          <w:p w14:paraId="1F2DD6BE" w14:textId="77777777" w:rsidR="002E7669" w:rsidRPr="002E7669" w:rsidRDefault="002E7669" w:rsidP="00E94B01">
            <w:pPr>
              <w:pStyle w:val="PSNumHeading"/>
              <w:rPr>
                <w:b w:val="0"/>
                <w:szCs w:val="20"/>
              </w:rPr>
            </w:pPr>
          </w:p>
        </w:tc>
      </w:tr>
      <w:tr w:rsidR="002E7669" w14:paraId="1F2DD6C2" w14:textId="77777777" w:rsidTr="002E7669">
        <w:tc>
          <w:tcPr>
            <w:tcW w:w="8028" w:type="dxa"/>
          </w:tcPr>
          <w:p w14:paraId="1F2DD6C0" w14:textId="77777777" w:rsidR="002E7669" w:rsidRPr="002E7669" w:rsidRDefault="003270A7" w:rsidP="00E94B01">
            <w:pPr>
              <w:pStyle w:val="PSNumHeading"/>
              <w:rPr>
                <w:b w:val="0"/>
                <w:szCs w:val="20"/>
              </w:rPr>
            </w:pPr>
            <w:r>
              <w:rPr>
                <w:b w:val="0"/>
                <w:szCs w:val="20"/>
              </w:rPr>
              <w:t>Completed items requiring namestrips</w:t>
            </w:r>
          </w:p>
        </w:tc>
        <w:tc>
          <w:tcPr>
            <w:tcW w:w="1440" w:type="dxa"/>
          </w:tcPr>
          <w:p w14:paraId="1F2DD6C1" w14:textId="77777777" w:rsidR="002E7669" w:rsidRPr="002E7669" w:rsidRDefault="002E7669" w:rsidP="00E94B01">
            <w:pPr>
              <w:pStyle w:val="PSNumHeading"/>
              <w:rPr>
                <w:b w:val="0"/>
                <w:szCs w:val="20"/>
              </w:rPr>
            </w:pPr>
          </w:p>
        </w:tc>
      </w:tr>
      <w:tr w:rsidR="002E7669" w14:paraId="1F2DD6C5" w14:textId="77777777" w:rsidTr="002E7669">
        <w:tc>
          <w:tcPr>
            <w:tcW w:w="8028" w:type="dxa"/>
          </w:tcPr>
          <w:p w14:paraId="1F2DD6C3" w14:textId="77777777" w:rsidR="002E7669" w:rsidRPr="002E7669" w:rsidRDefault="003270A7" w:rsidP="00E94B01">
            <w:pPr>
              <w:pStyle w:val="PSNumHeading"/>
              <w:rPr>
                <w:b w:val="0"/>
                <w:szCs w:val="20"/>
              </w:rPr>
            </w:pPr>
            <w:r>
              <w:rPr>
                <w:b w:val="0"/>
                <w:szCs w:val="20"/>
              </w:rPr>
              <w:t>Completed items requiring (other)</w:t>
            </w:r>
          </w:p>
        </w:tc>
        <w:tc>
          <w:tcPr>
            <w:tcW w:w="1440" w:type="dxa"/>
          </w:tcPr>
          <w:p w14:paraId="1F2DD6C4" w14:textId="77777777" w:rsidR="002E7669" w:rsidRPr="002E7669" w:rsidRDefault="002E7669" w:rsidP="00E94B01">
            <w:pPr>
              <w:pStyle w:val="PSNumHeading"/>
              <w:rPr>
                <w:b w:val="0"/>
                <w:szCs w:val="20"/>
              </w:rPr>
            </w:pPr>
          </w:p>
        </w:tc>
      </w:tr>
      <w:tr w:rsidR="002E7669" w14:paraId="1F2DD6C8" w14:textId="77777777" w:rsidTr="002E7669">
        <w:tc>
          <w:tcPr>
            <w:tcW w:w="8028" w:type="dxa"/>
          </w:tcPr>
          <w:p w14:paraId="1F2DD6C6" w14:textId="77777777" w:rsidR="002E7669" w:rsidRPr="002E7669" w:rsidRDefault="00C65300" w:rsidP="00E94B01">
            <w:pPr>
              <w:pStyle w:val="PSNumHeading"/>
              <w:rPr>
                <w:b w:val="0"/>
                <w:szCs w:val="20"/>
              </w:rPr>
            </w:pPr>
            <w:r>
              <w:rPr>
                <w:b w:val="0"/>
                <w:szCs w:val="20"/>
              </w:rPr>
              <w:t>(other continued)</w:t>
            </w:r>
          </w:p>
        </w:tc>
        <w:tc>
          <w:tcPr>
            <w:tcW w:w="1440" w:type="dxa"/>
          </w:tcPr>
          <w:p w14:paraId="1F2DD6C7" w14:textId="77777777" w:rsidR="002E7669" w:rsidRPr="002E7669" w:rsidRDefault="002E7669" w:rsidP="00E94B01">
            <w:pPr>
              <w:pStyle w:val="PSNumHeading"/>
              <w:rPr>
                <w:b w:val="0"/>
                <w:szCs w:val="20"/>
              </w:rPr>
            </w:pPr>
          </w:p>
        </w:tc>
      </w:tr>
      <w:tr w:rsidR="002E7669" w14:paraId="1F2DD6CB" w14:textId="77777777" w:rsidTr="002E7669">
        <w:tc>
          <w:tcPr>
            <w:tcW w:w="8028" w:type="dxa"/>
          </w:tcPr>
          <w:p w14:paraId="1F2DD6C9" w14:textId="77777777" w:rsidR="002E7669" w:rsidRPr="002E7669" w:rsidRDefault="002E7669" w:rsidP="00E94B01">
            <w:pPr>
              <w:pStyle w:val="PSNumHeading"/>
              <w:rPr>
                <w:b w:val="0"/>
                <w:szCs w:val="20"/>
              </w:rPr>
            </w:pPr>
          </w:p>
        </w:tc>
        <w:tc>
          <w:tcPr>
            <w:tcW w:w="1440" w:type="dxa"/>
          </w:tcPr>
          <w:p w14:paraId="1F2DD6CA" w14:textId="77777777" w:rsidR="002E7669" w:rsidRPr="002E7669" w:rsidRDefault="002E7669" w:rsidP="00E94B01">
            <w:pPr>
              <w:pStyle w:val="PSNumHeading"/>
              <w:rPr>
                <w:b w:val="0"/>
                <w:szCs w:val="20"/>
              </w:rPr>
            </w:pPr>
          </w:p>
        </w:tc>
      </w:tr>
      <w:tr w:rsidR="002E7669" w14:paraId="1F2DD6CE" w14:textId="77777777" w:rsidTr="002E7669">
        <w:tc>
          <w:tcPr>
            <w:tcW w:w="8028" w:type="dxa"/>
          </w:tcPr>
          <w:p w14:paraId="1F2DD6CC" w14:textId="77777777" w:rsidR="002E7669" w:rsidRPr="002E7669" w:rsidRDefault="002E7669" w:rsidP="00E94B01">
            <w:pPr>
              <w:pStyle w:val="PSNumHeading"/>
              <w:rPr>
                <w:b w:val="0"/>
                <w:szCs w:val="20"/>
              </w:rPr>
            </w:pPr>
          </w:p>
        </w:tc>
        <w:tc>
          <w:tcPr>
            <w:tcW w:w="1440" w:type="dxa"/>
          </w:tcPr>
          <w:p w14:paraId="1F2DD6CD" w14:textId="77777777" w:rsidR="002E7669" w:rsidRPr="002E7669" w:rsidRDefault="002E7669" w:rsidP="00E94B01">
            <w:pPr>
              <w:pStyle w:val="PSNumHeading"/>
              <w:rPr>
                <w:b w:val="0"/>
                <w:szCs w:val="20"/>
              </w:rPr>
            </w:pPr>
          </w:p>
        </w:tc>
      </w:tr>
    </w:tbl>
    <w:p w14:paraId="1F2DD6CF" w14:textId="77777777" w:rsidR="00E94B01" w:rsidRDefault="00E94B01" w:rsidP="00E94B01">
      <w:pPr>
        <w:pStyle w:val="PSNumHeading"/>
      </w:pPr>
    </w:p>
    <w:p w14:paraId="1F2DD6D0" w14:textId="77777777" w:rsidR="00E94B01" w:rsidRDefault="00E94B01" w:rsidP="00E94B01">
      <w:pPr>
        <w:pStyle w:val="PSNumHeading"/>
      </w:pPr>
    </w:p>
    <w:p w14:paraId="1F2DD6D1" w14:textId="77777777" w:rsidR="00E94B01" w:rsidRDefault="00E94B01" w:rsidP="00E94B01">
      <w:pPr>
        <w:pStyle w:val="PSNumHeading"/>
        <w:rPr>
          <w:b w:val="0"/>
          <w:sz w:val="18"/>
          <w:szCs w:val="18"/>
        </w:rPr>
      </w:pPr>
      <w:r w:rsidRPr="00E94B01">
        <w:t>NOTE:</w:t>
      </w:r>
      <w:r>
        <w:t xml:space="preserve"> </w:t>
      </w:r>
      <w:r w:rsidRPr="00E94B01">
        <w:rPr>
          <w:b w:val="0"/>
          <w:sz w:val="18"/>
          <w:szCs w:val="18"/>
        </w:rPr>
        <w:t>Be aware that there are garments that will require combinations of applications instead of just one (1). Therefore</w:t>
      </w:r>
      <w:r>
        <w:rPr>
          <w:b w:val="0"/>
          <w:sz w:val="18"/>
          <w:szCs w:val="18"/>
        </w:rPr>
        <w:t xml:space="preserve">: </w:t>
      </w:r>
    </w:p>
    <w:p w14:paraId="1F2DD6D2" w14:textId="77777777" w:rsidR="00E94B01" w:rsidRPr="00E94B01" w:rsidRDefault="00E94B01" w:rsidP="00E94B01">
      <w:pPr>
        <w:pStyle w:val="PSNumHeading"/>
        <w:rPr>
          <w:b w:val="0"/>
        </w:rPr>
      </w:pPr>
      <w:r>
        <w:rPr>
          <w:b w:val="0"/>
          <w:sz w:val="18"/>
          <w:szCs w:val="18"/>
        </w:rPr>
        <w:t>Items that need more than one (1) application, allow _______________ Calendar days for delivery ARO.</w:t>
      </w:r>
      <w:r>
        <w:rPr>
          <w:b w:val="0"/>
        </w:rPr>
        <w:t xml:space="preserve"> </w:t>
      </w:r>
    </w:p>
    <w:p w14:paraId="1F2DD6D3" w14:textId="77777777" w:rsidR="006C3AF0" w:rsidRPr="0011180E" w:rsidRDefault="006C3AF0">
      <w:pPr>
        <w:rPr>
          <w:b/>
          <w:u w:val="single"/>
        </w:rPr>
      </w:pPr>
    </w:p>
    <w:sectPr w:rsidR="006C3AF0" w:rsidRPr="0011180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DD6D6" w14:textId="77777777" w:rsidR="00060785" w:rsidRDefault="00060785" w:rsidP="002E7669">
      <w:r>
        <w:separator/>
      </w:r>
    </w:p>
  </w:endnote>
  <w:endnote w:type="continuationSeparator" w:id="0">
    <w:p w14:paraId="1F2DD6D7" w14:textId="77777777" w:rsidR="00060785" w:rsidRDefault="00060785" w:rsidP="002E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DD6D4" w14:textId="77777777" w:rsidR="00060785" w:rsidRDefault="00060785" w:rsidP="002E7669">
      <w:r>
        <w:separator/>
      </w:r>
    </w:p>
  </w:footnote>
  <w:footnote w:type="continuationSeparator" w:id="0">
    <w:p w14:paraId="1F2DD6D5" w14:textId="77777777" w:rsidR="00060785" w:rsidRDefault="00060785" w:rsidP="002E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DD6D8" w14:textId="77777777" w:rsidR="002E7669" w:rsidRPr="002E7669" w:rsidRDefault="002E7669" w:rsidP="002E7669">
    <w:pPr>
      <w:tabs>
        <w:tab w:val="center" w:pos="4680"/>
        <w:tab w:val="right" w:pos="9360"/>
      </w:tabs>
      <w:jc w:val="right"/>
    </w:pPr>
    <w:r w:rsidRPr="002E7669">
      <w:t>Event ID:  EVT0005021</w:t>
    </w:r>
  </w:p>
  <w:p w14:paraId="1F2DD6D9" w14:textId="77777777" w:rsidR="002E7669" w:rsidRPr="002E7669" w:rsidRDefault="002E7669" w:rsidP="002E7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65E6"/>
    <w:multiLevelType w:val="multilevel"/>
    <w:tmpl w:val="E4E6EBF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num w:numId="1" w16cid:durableId="130249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80E"/>
    <w:rsid w:val="00011D54"/>
    <w:rsid w:val="00046125"/>
    <w:rsid w:val="00060785"/>
    <w:rsid w:val="000956E5"/>
    <w:rsid w:val="000F21CD"/>
    <w:rsid w:val="0011180E"/>
    <w:rsid w:val="00116AA6"/>
    <w:rsid w:val="00124835"/>
    <w:rsid w:val="001B5E08"/>
    <w:rsid w:val="001E1FDC"/>
    <w:rsid w:val="001E4C1F"/>
    <w:rsid w:val="00225B2E"/>
    <w:rsid w:val="002A5106"/>
    <w:rsid w:val="002C5245"/>
    <w:rsid w:val="002C6CC7"/>
    <w:rsid w:val="002E7669"/>
    <w:rsid w:val="00310D98"/>
    <w:rsid w:val="003270A7"/>
    <w:rsid w:val="00367FFD"/>
    <w:rsid w:val="004169C4"/>
    <w:rsid w:val="00447B06"/>
    <w:rsid w:val="00462BB6"/>
    <w:rsid w:val="00482C7B"/>
    <w:rsid w:val="0062692C"/>
    <w:rsid w:val="00642B78"/>
    <w:rsid w:val="0064738E"/>
    <w:rsid w:val="0069401B"/>
    <w:rsid w:val="006C3AF0"/>
    <w:rsid w:val="00772136"/>
    <w:rsid w:val="007B7386"/>
    <w:rsid w:val="00851409"/>
    <w:rsid w:val="008B548E"/>
    <w:rsid w:val="009614A2"/>
    <w:rsid w:val="009C1A8B"/>
    <w:rsid w:val="00A63CF2"/>
    <w:rsid w:val="00AA3854"/>
    <w:rsid w:val="00B07F02"/>
    <w:rsid w:val="00B85533"/>
    <w:rsid w:val="00B86C21"/>
    <w:rsid w:val="00C5593D"/>
    <w:rsid w:val="00C65300"/>
    <w:rsid w:val="00CA2DB8"/>
    <w:rsid w:val="00D10D7C"/>
    <w:rsid w:val="00D613D1"/>
    <w:rsid w:val="00DA6EF7"/>
    <w:rsid w:val="00DE4352"/>
    <w:rsid w:val="00DE4BE2"/>
    <w:rsid w:val="00E83199"/>
    <w:rsid w:val="00E946EA"/>
    <w:rsid w:val="00E94B01"/>
    <w:rsid w:val="00EB6F6A"/>
    <w:rsid w:val="00F81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D6AA"/>
  <w15:docId w15:val="{C76EE462-34D6-4D7D-A2F1-513ECE6F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56E5"/>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0956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NumHeading">
    <w:name w:val="PSNumHeading"/>
    <w:basedOn w:val="Heading1"/>
    <w:autoRedefine/>
    <w:qFormat/>
    <w:rsid w:val="00E94B01"/>
    <w:pPr>
      <w:keepNext w:val="0"/>
      <w:keepLines w:val="0"/>
      <w:spacing w:before="240"/>
      <w:outlineLvl w:val="9"/>
    </w:pPr>
    <w:rPr>
      <w:rFonts w:ascii="Arial" w:eastAsia="Times New Roman" w:hAnsi="Arial" w:cs="Arial"/>
      <w:color w:val="auto"/>
      <w:kern w:val="32"/>
      <w:sz w:val="20"/>
      <w:szCs w:val="32"/>
    </w:rPr>
  </w:style>
  <w:style w:type="paragraph" w:styleId="ListParagraph">
    <w:name w:val="List Paragraph"/>
    <w:basedOn w:val="Normal"/>
    <w:uiPriority w:val="34"/>
    <w:qFormat/>
    <w:rsid w:val="000956E5"/>
    <w:pPr>
      <w:ind w:left="720" w:hanging="2520"/>
      <w:contextualSpacing/>
    </w:pPr>
  </w:style>
  <w:style w:type="character" w:customStyle="1" w:styleId="Heading1Char">
    <w:name w:val="Heading 1 Char"/>
    <w:basedOn w:val="DefaultParagraphFont"/>
    <w:link w:val="Heading1"/>
    <w:uiPriority w:val="9"/>
    <w:rsid w:val="000956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956E5"/>
    <w:rPr>
      <w:rFonts w:ascii="Tahoma" w:hAnsi="Tahoma" w:cs="Tahoma"/>
      <w:sz w:val="16"/>
      <w:szCs w:val="16"/>
    </w:rPr>
  </w:style>
  <w:style w:type="character" w:customStyle="1" w:styleId="BalloonTextChar">
    <w:name w:val="Balloon Text Char"/>
    <w:basedOn w:val="DefaultParagraphFont"/>
    <w:link w:val="BalloonText"/>
    <w:uiPriority w:val="99"/>
    <w:semiHidden/>
    <w:rsid w:val="000956E5"/>
    <w:rPr>
      <w:rFonts w:ascii="Tahoma" w:eastAsia="Times New Roman" w:hAnsi="Tahoma" w:cs="Tahoma"/>
      <w:sz w:val="16"/>
      <w:szCs w:val="16"/>
    </w:rPr>
  </w:style>
  <w:style w:type="table" w:styleId="TableGrid">
    <w:name w:val="Table Grid"/>
    <w:basedOn w:val="TableNormal"/>
    <w:uiPriority w:val="59"/>
    <w:rsid w:val="00E9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669"/>
    <w:pPr>
      <w:tabs>
        <w:tab w:val="center" w:pos="4680"/>
        <w:tab w:val="right" w:pos="9360"/>
      </w:tabs>
    </w:pPr>
  </w:style>
  <w:style w:type="character" w:customStyle="1" w:styleId="HeaderChar">
    <w:name w:val="Header Char"/>
    <w:basedOn w:val="DefaultParagraphFont"/>
    <w:link w:val="Header"/>
    <w:uiPriority w:val="99"/>
    <w:rsid w:val="002E7669"/>
    <w:rPr>
      <w:rFonts w:ascii="Arial" w:eastAsia="Times New Roman" w:hAnsi="Arial" w:cs="Arial"/>
      <w:sz w:val="20"/>
      <w:szCs w:val="20"/>
    </w:rPr>
  </w:style>
  <w:style w:type="paragraph" w:styleId="Footer">
    <w:name w:val="footer"/>
    <w:basedOn w:val="Normal"/>
    <w:link w:val="FooterChar"/>
    <w:uiPriority w:val="99"/>
    <w:unhideWhenUsed/>
    <w:rsid w:val="002E7669"/>
    <w:pPr>
      <w:tabs>
        <w:tab w:val="center" w:pos="4680"/>
        <w:tab w:val="right" w:pos="9360"/>
      </w:tabs>
    </w:pPr>
  </w:style>
  <w:style w:type="character" w:customStyle="1" w:styleId="FooterChar">
    <w:name w:val="Footer Char"/>
    <w:basedOn w:val="DefaultParagraphFont"/>
    <w:link w:val="Footer"/>
    <w:uiPriority w:val="99"/>
    <w:rsid w:val="002E7669"/>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b31d7be1-2bf1-4a0c-903e-3537715ce302">false</Archive>
    <TaxCatchAll xmlns="eda53aa1-44b3-4cd7-9bce-6d7e34741e47" xsi:nil="true"/>
    <lcf76f155ced4ddcb4097134ff3c332f xmlns="b31d7be1-2bf1-4a0c-903e-3537715ce3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D62E3AAC5AA479954B192188E3BC1" ma:contentTypeVersion="17" ma:contentTypeDescription="Create a new document." ma:contentTypeScope="" ma:versionID="97653a00f206bdc33f604b70a513fb07">
  <xsd:schema xmlns:xsd="http://www.w3.org/2001/XMLSchema" xmlns:xs="http://www.w3.org/2001/XMLSchema" xmlns:p="http://schemas.microsoft.com/office/2006/metadata/properties" xmlns:ns2="b31d7be1-2bf1-4a0c-903e-3537715ce302" xmlns:ns3="d3eafe48-5e75-4bab-84f6-a5a35a105a20" xmlns:ns4="eda53aa1-44b3-4cd7-9bce-6d7e34741e47" targetNamespace="http://schemas.microsoft.com/office/2006/metadata/properties" ma:root="true" ma:fieldsID="9b6b87fd8c634a8d692d75c898aaf494" ns2:_="" ns3:_="" ns4:_="">
    <xsd:import namespace="b31d7be1-2bf1-4a0c-903e-3537715ce302"/>
    <xsd:import namespace="d3eafe48-5e75-4bab-84f6-a5a35a105a20"/>
    <xsd:import namespace="eda53aa1-44b3-4cd7-9bce-6d7e34741e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Archive"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7be1-2bf1-4a0c-903e-3537715ce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Archive" ma:index="14" nillable="true" ma:displayName="Archive" ma:default="0" ma:format="Dropdown" ma:internalName="Archive">
      <xsd:simpleType>
        <xsd:restriction base="dms:Boolea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60d659-d1b8-47d0-a454-1bb206a60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afe48-5e75-4bab-84f6-a5a35a105a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53aa1-44b3-4cd7-9bce-6d7e34741e4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e2891e4-6779-4a5a-9225-82d50eb2cf56}" ma:internalName="TaxCatchAll" ma:showField="CatchAllData" ma:web="eda53aa1-44b3-4cd7-9bce-6d7e34741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6583-CF1F-4532-8848-440976FA89EF}">
  <ds:schemaRefs>
    <ds:schemaRef ds:uri="http://schemas.microsoft.com/office/2006/metadata/properties"/>
    <ds:schemaRef ds:uri="http://schemas.microsoft.com/office/infopath/2007/PartnerControls"/>
    <ds:schemaRef ds:uri="b31d7be1-2bf1-4a0c-903e-3537715ce302"/>
    <ds:schemaRef ds:uri="eda53aa1-44b3-4cd7-9bce-6d7e34741e47"/>
  </ds:schemaRefs>
</ds:datastoreItem>
</file>

<file path=customXml/itemProps2.xml><?xml version="1.0" encoding="utf-8"?>
<ds:datastoreItem xmlns:ds="http://schemas.openxmlformats.org/officeDocument/2006/customXml" ds:itemID="{D7545749-D803-459C-869F-21B25456DD4F}">
  <ds:schemaRefs>
    <ds:schemaRef ds:uri="http://schemas.microsoft.com/sharepoint/v3/contenttype/forms"/>
  </ds:schemaRefs>
</ds:datastoreItem>
</file>

<file path=customXml/itemProps3.xml><?xml version="1.0" encoding="utf-8"?>
<ds:datastoreItem xmlns:ds="http://schemas.openxmlformats.org/officeDocument/2006/customXml" ds:itemID="{B74BA9B8-007C-46CE-A5F8-7DECFD630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d7be1-2bf1-4a0c-903e-3537715ce302"/>
    <ds:schemaRef ds:uri="d3eafe48-5e75-4bab-84f6-a5a35a105a20"/>
    <ds:schemaRef ds:uri="eda53aa1-44b3-4cd7-9bce-6d7e34741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93EDB-10D9-40F7-811C-38DF6758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Herman</dc:creator>
  <cp:lastModifiedBy>Phillip L. Curtis [DAPC]</cp:lastModifiedBy>
  <cp:revision>9</cp:revision>
  <dcterms:created xsi:type="dcterms:W3CDTF">2017-04-12T14:02:00Z</dcterms:created>
  <dcterms:modified xsi:type="dcterms:W3CDTF">2024-07-08T14:29:00Z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0x010100938D62E3AAC5AA479954B192188E3BC1</vt:lpwstr>
  </property>
  <property fmtid="{D5CDD505-2E9C-101B-9397-08002B2CF9AE}" pid="3" name="Order">
    <vt:r8>30030800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