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F2736" w14:textId="77777777" w:rsidR="003758F7" w:rsidRDefault="00E05B7A">
      <w:pPr>
        <w:spacing w:before="37"/>
        <w:ind w:left="3874" w:right="4321"/>
        <w:jc w:val="center"/>
        <w:rPr>
          <w:b/>
          <w:sz w:val="18"/>
        </w:rPr>
      </w:pPr>
      <w:r>
        <w:rPr>
          <w:b/>
          <w:sz w:val="18"/>
        </w:rPr>
        <w:t>GENERAL CONDITIONS</w:t>
      </w:r>
    </w:p>
    <w:p w14:paraId="5EB049B6" w14:textId="77777777" w:rsidR="003758F7" w:rsidRDefault="00E05B7A">
      <w:pPr>
        <w:pStyle w:val="BodyText"/>
        <w:spacing w:before="50"/>
        <w:ind w:left="3956" w:right="4310"/>
        <w:jc w:val="center"/>
      </w:pPr>
      <w:r>
        <w:t>Last Updated April 7, 2017</w:t>
      </w:r>
    </w:p>
    <w:p w14:paraId="2C08B824" w14:textId="77777777" w:rsidR="003758F7" w:rsidRDefault="003758F7">
      <w:pPr>
        <w:pStyle w:val="BodyText"/>
        <w:spacing w:before="3"/>
        <w:ind w:left="0"/>
        <w:rPr>
          <w:sz w:val="27"/>
        </w:rPr>
      </w:pPr>
    </w:p>
    <w:p w14:paraId="658CFB91" w14:textId="77777777" w:rsidR="003758F7" w:rsidRDefault="00E05B7A">
      <w:pPr>
        <w:pStyle w:val="ListParagraph"/>
        <w:numPr>
          <w:ilvl w:val="0"/>
          <w:numId w:val="1"/>
        </w:numPr>
        <w:tabs>
          <w:tab w:val="left" w:pos="1041"/>
          <w:tab w:val="left" w:pos="1042"/>
        </w:tabs>
        <w:ind w:hanging="361"/>
        <w:rPr>
          <w:sz w:val="18"/>
        </w:rPr>
      </w:pPr>
      <w:r>
        <w:rPr>
          <w:sz w:val="18"/>
        </w:rPr>
        <w:t>PROCUREMENT</w:t>
      </w:r>
      <w:r>
        <w:rPr>
          <w:spacing w:val="-3"/>
          <w:sz w:val="18"/>
        </w:rPr>
        <w:t xml:space="preserve"> </w:t>
      </w:r>
      <w:r>
        <w:rPr>
          <w:sz w:val="18"/>
        </w:rPr>
        <w:t>POLICY</w:t>
      </w:r>
    </w:p>
    <w:p w14:paraId="6C9BD63F" w14:textId="77777777" w:rsidR="003758F7" w:rsidRDefault="00E05B7A">
      <w:pPr>
        <w:pStyle w:val="BodyText"/>
        <w:spacing w:before="2"/>
        <w:ind w:right="84"/>
      </w:pPr>
      <w:r>
        <w:t>Procurement for the City of Detroit shall be carried out in a manner which provides a transparent, open, and fair opportunity for all eligible Suppliers to participate. This bid shall be made without collusion with any other person, firm or corporation making any bid or proposal, or who otherwise makes a bid or proposal.</w:t>
      </w:r>
    </w:p>
    <w:p w14:paraId="3177104B" w14:textId="77777777" w:rsidR="003758F7" w:rsidRDefault="003758F7">
      <w:pPr>
        <w:pStyle w:val="BodyText"/>
        <w:spacing w:before="5"/>
        <w:ind w:left="0"/>
      </w:pPr>
    </w:p>
    <w:p w14:paraId="3FB8EC2E" w14:textId="77777777" w:rsidR="003758F7" w:rsidRDefault="00E05B7A">
      <w:pPr>
        <w:pStyle w:val="BodyText"/>
        <w:ind w:right="179"/>
      </w:pPr>
      <w:r>
        <w:t>Suppliers must have a valid contract or Purchase Order with the signature of the Chief Procurement Officer to receive payment for goods or services rendered. Suppliers who perform work without a valid contract or purchase order will not be paid.</w:t>
      </w:r>
    </w:p>
    <w:p w14:paraId="34497FDF" w14:textId="77777777" w:rsidR="003758F7" w:rsidRDefault="003758F7">
      <w:pPr>
        <w:pStyle w:val="BodyText"/>
        <w:spacing w:before="10"/>
        <w:ind w:left="0"/>
      </w:pPr>
    </w:p>
    <w:p w14:paraId="02BB5BB7" w14:textId="77777777" w:rsidR="003758F7" w:rsidRDefault="00E05B7A">
      <w:pPr>
        <w:pStyle w:val="ListParagraph"/>
        <w:numPr>
          <w:ilvl w:val="0"/>
          <w:numId w:val="1"/>
        </w:numPr>
        <w:tabs>
          <w:tab w:val="left" w:pos="1041"/>
          <w:tab w:val="left" w:pos="1042"/>
        </w:tabs>
        <w:ind w:hanging="361"/>
        <w:rPr>
          <w:sz w:val="18"/>
        </w:rPr>
      </w:pPr>
      <w:r>
        <w:rPr>
          <w:sz w:val="18"/>
        </w:rPr>
        <w:t>QUOTATIONS/PROPOSALS</w:t>
      </w:r>
    </w:p>
    <w:p w14:paraId="68BA3CD1" w14:textId="77777777" w:rsidR="003758F7" w:rsidRDefault="00E05B7A">
      <w:pPr>
        <w:pStyle w:val="BodyText"/>
        <w:spacing w:before="2"/>
        <w:ind w:right="84"/>
      </w:pPr>
      <w:r>
        <w:t>Suppliers MUST electronically submit the bid quotation/proposal. Failure to submit will be grounds for rejection. In your quotation, a distinction between dollars and cents must be made. Illegible bids may be grounds for rejection of your bid.</w:t>
      </w:r>
    </w:p>
    <w:p w14:paraId="4BBC06C1" w14:textId="77777777" w:rsidR="003758F7" w:rsidRDefault="003758F7">
      <w:pPr>
        <w:pStyle w:val="BodyText"/>
        <w:spacing w:before="10"/>
        <w:ind w:left="0"/>
      </w:pPr>
    </w:p>
    <w:p w14:paraId="075BE904" w14:textId="77777777" w:rsidR="003758F7" w:rsidRDefault="00E05B7A">
      <w:pPr>
        <w:pStyle w:val="ListParagraph"/>
        <w:numPr>
          <w:ilvl w:val="0"/>
          <w:numId w:val="1"/>
        </w:numPr>
        <w:tabs>
          <w:tab w:val="left" w:pos="1041"/>
          <w:tab w:val="left" w:pos="1042"/>
        </w:tabs>
        <w:spacing w:line="207" w:lineRule="exact"/>
        <w:ind w:hanging="361"/>
        <w:rPr>
          <w:sz w:val="18"/>
        </w:rPr>
      </w:pPr>
      <w:r>
        <w:rPr>
          <w:sz w:val="18"/>
        </w:rPr>
        <w:t>RESPONSIBILITIES</w:t>
      </w:r>
    </w:p>
    <w:p w14:paraId="6C06FC31" w14:textId="77777777" w:rsidR="003758F7" w:rsidRDefault="00E05B7A">
      <w:pPr>
        <w:pStyle w:val="BodyText"/>
        <w:ind w:right="123"/>
      </w:pPr>
      <w:r>
        <w:t>The responsibilities under this (proposed) contract are that the City of Detroit is obligated during the period stipulated to purchase all its NORMAL REQUIREMENTS of the above referenced products and/or services from the Supplier, and the Supplier is obligated to supply the quantities and/or services which the City of Detroit requires for its operations. Requirements stated herein are approximate but are for entire normal requirements, whether more or less. Requirements stated are not guaranteed.</w:t>
      </w:r>
    </w:p>
    <w:p w14:paraId="6305D76A" w14:textId="77777777" w:rsidR="003758F7" w:rsidRDefault="003758F7">
      <w:pPr>
        <w:pStyle w:val="BodyText"/>
        <w:spacing w:before="3"/>
        <w:ind w:left="0"/>
      </w:pPr>
    </w:p>
    <w:p w14:paraId="7225E1D6" w14:textId="77777777" w:rsidR="003758F7" w:rsidRDefault="00E05B7A">
      <w:pPr>
        <w:pStyle w:val="ListParagraph"/>
        <w:numPr>
          <w:ilvl w:val="0"/>
          <w:numId w:val="1"/>
        </w:numPr>
        <w:tabs>
          <w:tab w:val="left" w:pos="1041"/>
          <w:tab w:val="left" w:pos="1042"/>
        </w:tabs>
        <w:spacing w:line="207" w:lineRule="exact"/>
        <w:ind w:hanging="361"/>
        <w:rPr>
          <w:sz w:val="18"/>
        </w:rPr>
      </w:pPr>
      <w:r>
        <w:rPr>
          <w:sz w:val="18"/>
        </w:rPr>
        <w:t>COMPLIANCE WITH LAWS AND SECURITY</w:t>
      </w:r>
      <w:r>
        <w:rPr>
          <w:spacing w:val="-10"/>
          <w:sz w:val="18"/>
        </w:rPr>
        <w:t xml:space="preserve"> </w:t>
      </w:r>
      <w:r>
        <w:rPr>
          <w:sz w:val="18"/>
        </w:rPr>
        <w:t>REGULATIONS</w:t>
      </w:r>
    </w:p>
    <w:p w14:paraId="3255B0E6" w14:textId="77777777" w:rsidR="003758F7" w:rsidRDefault="00E05B7A">
      <w:pPr>
        <w:pStyle w:val="BodyText"/>
      </w:pPr>
      <w:r>
        <w:t>The Supplier shall fully comply with and shall require its associates to comply with: (1) federal, state and local laws, ordinances, code(s), regulations and policies applicable to this contract, including, but not limited to, all security regulations in effect from time to time on the City's premises; (2) codes and regulations for materials, belonging to the City or developed in relationship to this project; and (3) with the terms and conditions of the grant, and the requirements of the grantor agencies when grant funds that are specifically related to this Contract are expended.</w:t>
      </w:r>
    </w:p>
    <w:p w14:paraId="1C703F99" w14:textId="77777777" w:rsidR="003758F7" w:rsidRDefault="003758F7">
      <w:pPr>
        <w:pStyle w:val="BodyText"/>
        <w:spacing w:before="8"/>
        <w:ind w:left="0"/>
      </w:pPr>
    </w:p>
    <w:p w14:paraId="19449478" w14:textId="77777777" w:rsidR="003758F7" w:rsidRDefault="00E05B7A">
      <w:pPr>
        <w:pStyle w:val="BodyText"/>
        <w:ind w:right="120"/>
      </w:pPr>
      <w:r>
        <w:t>The Supplier shall indemnify, defend, and hold the City harmless with respect to any damages arising from any violations of applicable laws and regulations by it or its associates. The Supplier shall commit no trespass on any public or private property in performing any of the Services encompassed by this Contract. The Supplier shall require,</w:t>
      </w:r>
      <w:r>
        <w:rPr>
          <w:spacing w:val="-3"/>
        </w:rPr>
        <w:t xml:space="preserve"> </w:t>
      </w:r>
      <w:r>
        <w:t>as</w:t>
      </w:r>
      <w:r>
        <w:rPr>
          <w:spacing w:val="-1"/>
        </w:rPr>
        <w:t xml:space="preserve"> </w:t>
      </w:r>
      <w:r>
        <w:t>part</w:t>
      </w:r>
      <w:r>
        <w:rPr>
          <w:spacing w:val="-2"/>
        </w:rPr>
        <w:t xml:space="preserve"> </w:t>
      </w:r>
      <w:r>
        <w:t>of</w:t>
      </w:r>
      <w:r>
        <w:rPr>
          <w:spacing w:val="-4"/>
        </w:rPr>
        <w:t xml:space="preserve"> </w:t>
      </w:r>
      <w:r>
        <w:t>any</w:t>
      </w:r>
      <w:r>
        <w:rPr>
          <w:spacing w:val="-4"/>
        </w:rPr>
        <w:t xml:space="preserve"> </w:t>
      </w:r>
      <w:r>
        <w:t>subcontract</w:t>
      </w:r>
      <w:r>
        <w:rPr>
          <w:spacing w:val="-2"/>
        </w:rPr>
        <w:t xml:space="preserve"> </w:t>
      </w:r>
      <w:r>
        <w:t>that</w:t>
      </w:r>
      <w:r>
        <w:rPr>
          <w:spacing w:val="-5"/>
        </w:rPr>
        <w:t xml:space="preserve"> </w:t>
      </w:r>
      <w:r>
        <w:t>sub-Contractors</w:t>
      </w:r>
      <w:r>
        <w:rPr>
          <w:spacing w:val="-1"/>
        </w:rPr>
        <w:t xml:space="preserve"> </w:t>
      </w:r>
      <w:r>
        <w:t>comply</w:t>
      </w:r>
      <w:r>
        <w:rPr>
          <w:spacing w:val="-4"/>
        </w:rPr>
        <w:t xml:space="preserve"> </w:t>
      </w:r>
      <w:r>
        <w:t>with</w:t>
      </w:r>
      <w:r>
        <w:rPr>
          <w:spacing w:val="-2"/>
        </w:rPr>
        <w:t xml:space="preserve"> </w:t>
      </w:r>
      <w:r>
        <w:t>all</w:t>
      </w:r>
      <w:r>
        <w:rPr>
          <w:spacing w:val="-2"/>
        </w:rPr>
        <w:t xml:space="preserve"> </w:t>
      </w:r>
      <w:r>
        <w:t>applicable</w:t>
      </w:r>
      <w:r>
        <w:rPr>
          <w:spacing w:val="-4"/>
        </w:rPr>
        <w:t xml:space="preserve"> </w:t>
      </w:r>
      <w:r>
        <w:t>laws</w:t>
      </w:r>
      <w:r>
        <w:rPr>
          <w:spacing w:val="-1"/>
        </w:rPr>
        <w:t xml:space="preserve"> </w:t>
      </w:r>
      <w:r>
        <w:t>and</w:t>
      </w:r>
      <w:r>
        <w:rPr>
          <w:spacing w:val="-5"/>
        </w:rPr>
        <w:t xml:space="preserve"> </w:t>
      </w:r>
      <w:r>
        <w:t>regulations.</w:t>
      </w:r>
      <w:r>
        <w:rPr>
          <w:spacing w:val="-4"/>
        </w:rPr>
        <w:t xml:space="preserve"> </w:t>
      </w:r>
      <w:r>
        <w:t>The</w:t>
      </w:r>
      <w:r>
        <w:rPr>
          <w:spacing w:val="-2"/>
        </w:rPr>
        <w:t xml:space="preserve"> </w:t>
      </w:r>
      <w:r>
        <w:t>Supplier shall secure, at no extra cost to the City of Detroit, all Permits and Licenses necessary for the performance of the work and shall fully comply with all their terms and</w:t>
      </w:r>
      <w:r>
        <w:rPr>
          <w:spacing w:val="-11"/>
        </w:rPr>
        <w:t xml:space="preserve"> </w:t>
      </w:r>
      <w:r>
        <w:t>conditions.</w:t>
      </w:r>
    </w:p>
    <w:p w14:paraId="770088CC" w14:textId="77777777" w:rsidR="003758F7" w:rsidRDefault="003758F7">
      <w:pPr>
        <w:pStyle w:val="BodyText"/>
        <w:spacing w:before="1"/>
        <w:ind w:left="0"/>
      </w:pPr>
    </w:p>
    <w:p w14:paraId="6A8CE5B4" w14:textId="77777777" w:rsidR="003758F7" w:rsidRDefault="00E05B7A">
      <w:pPr>
        <w:pStyle w:val="ListParagraph"/>
        <w:numPr>
          <w:ilvl w:val="0"/>
          <w:numId w:val="1"/>
        </w:numPr>
        <w:tabs>
          <w:tab w:val="left" w:pos="1041"/>
          <w:tab w:val="left" w:pos="1042"/>
        </w:tabs>
        <w:spacing w:before="1" w:line="207" w:lineRule="exact"/>
        <w:ind w:hanging="361"/>
        <w:rPr>
          <w:sz w:val="18"/>
        </w:rPr>
      </w:pPr>
      <w:r>
        <w:rPr>
          <w:sz w:val="18"/>
        </w:rPr>
        <w:t>EQUAL</w:t>
      </w:r>
      <w:r>
        <w:rPr>
          <w:spacing w:val="-1"/>
          <w:sz w:val="18"/>
        </w:rPr>
        <w:t xml:space="preserve"> </w:t>
      </w:r>
      <w:r>
        <w:rPr>
          <w:sz w:val="18"/>
        </w:rPr>
        <w:t>OPPORTUNITY</w:t>
      </w:r>
    </w:p>
    <w:p w14:paraId="3A55244D" w14:textId="77777777" w:rsidR="003758F7" w:rsidRDefault="00E05B7A">
      <w:pPr>
        <w:pStyle w:val="BodyText"/>
        <w:ind w:right="135"/>
      </w:pPr>
      <w:r>
        <w:t>It is the policy of the City that women-owned businesses (WBE), minority-owned businesses (MBE), and Detroit businesses (DB) have a fair and equal opportunity to participate in the City's purchasing process. Therefore, the City of Detroit strongly encourages D/M/WBEs to compete for contracts, as well as encourage suppliers to hire D/M/WBEs as subcontractors to supply goods and/or services. The City of Detroit supports a robust free market system that seeks to include viable business and provides opportunity for business growth and development.</w:t>
      </w:r>
    </w:p>
    <w:p w14:paraId="6F5E65C0" w14:textId="77777777" w:rsidR="003758F7" w:rsidRDefault="003758F7">
      <w:pPr>
        <w:pStyle w:val="BodyText"/>
        <w:spacing w:before="3"/>
        <w:ind w:left="0"/>
      </w:pPr>
    </w:p>
    <w:p w14:paraId="13727768" w14:textId="77777777" w:rsidR="003758F7" w:rsidRDefault="00E05B7A">
      <w:pPr>
        <w:pStyle w:val="ListParagraph"/>
        <w:numPr>
          <w:ilvl w:val="0"/>
          <w:numId w:val="1"/>
        </w:numPr>
        <w:tabs>
          <w:tab w:val="left" w:pos="1041"/>
          <w:tab w:val="left" w:pos="1042"/>
        </w:tabs>
        <w:spacing w:line="207" w:lineRule="exact"/>
        <w:ind w:hanging="361"/>
        <w:rPr>
          <w:sz w:val="18"/>
        </w:rPr>
      </w:pPr>
      <w:r>
        <w:rPr>
          <w:sz w:val="18"/>
        </w:rPr>
        <w:t>INSURANCE</w:t>
      </w:r>
    </w:p>
    <w:p w14:paraId="295B7F9D" w14:textId="77777777" w:rsidR="003758F7" w:rsidRDefault="00E05B7A">
      <w:pPr>
        <w:pStyle w:val="BodyText"/>
        <w:ind w:right="179"/>
      </w:pPr>
      <w:r>
        <w:t>The Supplier shall maintain, at a minimum and at its expense during the term of this contract, the following insurance:</w:t>
      </w:r>
    </w:p>
    <w:p w14:paraId="363B71AB" w14:textId="77777777" w:rsidR="003758F7" w:rsidRDefault="003758F7">
      <w:pPr>
        <w:pStyle w:val="BodyText"/>
        <w:spacing w:before="3"/>
        <w:ind w:left="0"/>
      </w:pPr>
    </w:p>
    <w:p w14:paraId="2184797A" w14:textId="77777777" w:rsidR="003758F7" w:rsidRDefault="00E05B7A">
      <w:pPr>
        <w:pStyle w:val="ListParagraph"/>
        <w:numPr>
          <w:ilvl w:val="1"/>
          <w:numId w:val="1"/>
        </w:numPr>
        <w:tabs>
          <w:tab w:val="left" w:pos="1761"/>
          <w:tab w:val="left" w:pos="1762"/>
        </w:tabs>
        <w:spacing w:line="242" w:lineRule="auto"/>
        <w:ind w:right="483"/>
        <w:rPr>
          <w:sz w:val="18"/>
        </w:rPr>
      </w:pPr>
      <w:r>
        <w:rPr>
          <w:sz w:val="18"/>
        </w:rPr>
        <w:t>Worker's</w:t>
      </w:r>
      <w:r>
        <w:rPr>
          <w:spacing w:val="-6"/>
          <w:sz w:val="18"/>
        </w:rPr>
        <w:t xml:space="preserve"> </w:t>
      </w:r>
      <w:r>
        <w:rPr>
          <w:sz w:val="18"/>
        </w:rPr>
        <w:t>Compensation</w:t>
      </w:r>
      <w:r>
        <w:rPr>
          <w:spacing w:val="-4"/>
          <w:sz w:val="18"/>
        </w:rPr>
        <w:t xml:space="preserve"> </w:t>
      </w:r>
      <w:r>
        <w:rPr>
          <w:sz w:val="18"/>
        </w:rPr>
        <w:t>insurance</w:t>
      </w:r>
      <w:r>
        <w:rPr>
          <w:spacing w:val="-4"/>
          <w:sz w:val="18"/>
        </w:rPr>
        <w:t xml:space="preserve"> </w:t>
      </w:r>
      <w:r>
        <w:rPr>
          <w:sz w:val="18"/>
        </w:rPr>
        <w:t>with</w:t>
      </w:r>
      <w:r>
        <w:rPr>
          <w:spacing w:val="-4"/>
          <w:sz w:val="18"/>
        </w:rPr>
        <w:t xml:space="preserve"> </w:t>
      </w:r>
      <w:r>
        <w:rPr>
          <w:sz w:val="18"/>
        </w:rPr>
        <w:t>Michigan</w:t>
      </w:r>
      <w:r>
        <w:rPr>
          <w:spacing w:val="-4"/>
          <w:sz w:val="18"/>
        </w:rPr>
        <w:t xml:space="preserve"> </w:t>
      </w:r>
      <w:r>
        <w:rPr>
          <w:sz w:val="18"/>
        </w:rPr>
        <w:t>statutory</w:t>
      </w:r>
      <w:r>
        <w:rPr>
          <w:spacing w:val="-6"/>
          <w:sz w:val="18"/>
        </w:rPr>
        <w:t xml:space="preserve"> </w:t>
      </w:r>
      <w:r>
        <w:rPr>
          <w:sz w:val="18"/>
        </w:rPr>
        <w:t>limits</w:t>
      </w:r>
      <w:r>
        <w:rPr>
          <w:spacing w:val="-3"/>
          <w:sz w:val="18"/>
        </w:rPr>
        <w:t xml:space="preserve"> </w:t>
      </w:r>
      <w:r>
        <w:rPr>
          <w:sz w:val="18"/>
        </w:rPr>
        <w:t>and</w:t>
      </w:r>
      <w:r>
        <w:rPr>
          <w:spacing w:val="-4"/>
          <w:sz w:val="18"/>
        </w:rPr>
        <w:t xml:space="preserve"> </w:t>
      </w:r>
      <w:r>
        <w:rPr>
          <w:sz w:val="18"/>
        </w:rPr>
        <w:t>Employer's</w:t>
      </w:r>
      <w:r>
        <w:rPr>
          <w:spacing w:val="-3"/>
          <w:sz w:val="18"/>
        </w:rPr>
        <w:t xml:space="preserve"> </w:t>
      </w:r>
      <w:r>
        <w:rPr>
          <w:sz w:val="18"/>
        </w:rPr>
        <w:t>Liability</w:t>
      </w:r>
      <w:r>
        <w:rPr>
          <w:spacing w:val="-4"/>
          <w:sz w:val="18"/>
        </w:rPr>
        <w:t xml:space="preserve"> </w:t>
      </w:r>
      <w:r>
        <w:rPr>
          <w:sz w:val="18"/>
        </w:rPr>
        <w:t>insurance</w:t>
      </w:r>
      <w:r>
        <w:rPr>
          <w:spacing w:val="-4"/>
          <w:sz w:val="18"/>
        </w:rPr>
        <w:t xml:space="preserve"> </w:t>
      </w:r>
      <w:r>
        <w:rPr>
          <w:sz w:val="18"/>
        </w:rPr>
        <w:t>with limits</w:t>
      </w:r>
      <w:r>
        <w:rPr>
          <w:spacing w:val="-2"/>
          <w:sz w:val="18"/>
        </w:rPr>
        <w:t xml:space="preserve"> </w:t>
      </w:r>
      <w:r>
        <w:rPr>
          <w:sz w:val="18"/>
        </w:rPr>
        <w:t>of</w:t>
      </w:r>
    </w:p>
    <w:p w14:paraId="7234F451" w14:textId="77777777" w:rsidR="003758F7" w:rsidRDefault="00E05B7A">
      <w:pPr>
        <w:pStyle w:val="BodyText"/>
        <w:ind w:left="1761" w:right="82"/>
      </w:pPr>
      <w:r>
        <w:t>$500,000.00 each accident, $500,000.00 each disease, $500,000.00 each employee. For Federal and State Funded Training Programs, the Supplier is required to secure worker's compensation insurance for all of its participants.</w:t>
      </w:r>
    </w:p>
    <w:p w14:paraId="748DADB3" w14:textId="77777777" w:rsidR="003758F7" w:rsidRDefault="003758F7">
      <w:pPr>
        <w:pStyle w:val="BodyText"/>
        <w:ind w:left="0"/>
      </w:pPr>
    </w:p>
    <w:p w14:paraId="7A4DA9FB" w14:textId="77777777" w:rsidR="003758F7" w:rsidRDefault="00E05B7A">
      <w:pPr>
        <w:pStyle w:val="ListParagraph"/>
        <w:numPr>
          <w:ilvl w:val="1"/>
          <w:numId w:val="1"/>
        </w:numPr>
        <w:tabs>
          <w:tab w:val="left" w:pos="1761"/>
          <w:tab w:val="left" w:pos="1762"/>
        </w:tabs>
        <w:ind w:hanging="721"/>
        <w:rPr>
          <w:sz w:val="18"/>
        </w:rPr>
      </w:pPr>
      <w:r>
        <w:rPr>
          <w:sz w:val="18"/>
        </w:rPr>
        <w:t>Commercial General Liability insurance with limits of $1,000,000.00 per occurrence, subject to</w:t>
      </w:r>
      <w:r>
        <w:rPr>
          <w:spacing w:val="-21"/>
          <w:sz w:val="18"/>
        </w:rPr>
        <w:t xml:space="preserve"> </w:t>
      </w:r>
      <w:r>
        <w:rPr>
          <w:sz w:val="18"/>
        </w:rPr>
        <w:t>a</w:t>
      </w:r>
    </w:p>
    <w:p w14:paraId="107EE910" w14:textId="77777777" w:rsidR="003758F7" w:rsidRDefault="003758F7">
      <w:pPr>
        <w:rPr>
          <w:sz w:val="18"/>
        </w:rPr>
        <w:sectPr w:rsidR="003758F7" w:rsidSect="00340859">
          <w:headerReference w:type="default" r:id="rId7"/>
          <w:footerReference w:type="default" r:id="rId8"/>
          <w:type w:val="continuous"/>
          <w:pgSz w:w="12240" w:h="15840"/>
          <w:pgMar w:top="1520" w:right="980" w:bottom="1440" w:left="800" w:header="729" w:footer="1255" w:gutter="0"/>
          <w:pgNumType w:start="1"/>
          <w:cols w:space="720"/>
        </w:sectPr>
      </w:pPr>
    </w:p>
    <w:p w14:paraId="6FBFCD6C" w14:textId="77777777" w:rsidR="003758F7" w:rsidRDefault="00E05B7A">
      <w:pPr>
        <w:pStyle w:val="BodyText"/>
        <w:spacing w:before="44"/>
        <w:ind w:left="1761"/>
      </w:pPr>
      <w:r>
        <w:lastRenderedPageBreak/>
        <w:t>minimum aggregate limit of $2,000,000.00</w:t>
      </w:r>
    </w:p>
    <w:p w14:paraId="2C38946F" w14:textId="77777777" w:rsidR="003758F7" w:rsidRDefault="003758F7">
      <w:pPr>
        <w:pStyle w:val="BodyText"/>
        <w:spacing w:before="1"/>
        <w:ind w:left="0"/>
      </w:pPr>
    </w:p>
    <w:p w14:paraId="11A324E4" w14:textId="77777777" w:rsidR="003758F7" w:rsidRDefault="00E05B7A">
      <w:pPr>
        <w:pStyle w:val="ListParagraph"/>
        <w:numPr>
          <w:ilvl w:val="1"/>
          <w:numId w:val="1"/>
        </w:numPr>
        <w:tabs>
          <w:tab w:val="left" w:pos="1761"/>
          <w:tab w:val="left" w:pos="1762"/>
        </w:tabs>
        <w:spacing w:before="1"/>
        <w:ind w:right="214"/>
        <w:rPr>
          <w:sz w:val="18"/>
        </w:rPr>
      </w:pPr>
      <w:r>
        <w:rPr>
          <w:sz w:val="18"/>
        </w:rPr>
        <w:t>Automobile Liability insurance covering all owned, hired and non-owned vehicles with personal protection insurance and property protection insurance to comply with the provisions of the Michigan No-Fault Insurance</w:t>
      </w:r>
      <w:r>
        <w:rPr>
          <w:spacing w:val="-3"/>
          <w:sz w:val="18"/>
        </w:rPr>
        <w:t xml:space="preserve"> </w:t>
      </w:r>
      <w:r>
        <w:rPr>
          <w:sz w:val="18"/>
        </w:rPr>
        <w:t>Act,</w:t>
      </w:r>
      <w:r>
        <w:rPr>
          <w:spacing w:val="-3"/>
          <w:sz w:val="18"/>
        </w:rPr>
        <w:t xml:space="preserve"> </w:t>
      </w:r>
      <w:r>
        <w:rPr>
          <w:sz w:val="18"/>
        </w:rPr>
        <w:t>including</w:t>
      </w:r>
      <w:r>
        <w:rPr>
          <w:spacing w:val="-3"/>
          <w:sz w:val="18"/>
        </w:rPr>
        <w:t xml:space="preserve"> </w:t>
      </w:r>
      <w:r>
        <w:rPr>
          <w:sz w:val="18"/>
        </w:rPr>
        <w:t>residual</w:t>
      </w:r>
      <w:r>
        <w:rPr>
          <w:spacing w:val="-3"/>
          <w:sz w:val="18"/>
        </w:rPr>
        <w:t xml:space="preserve"> </w:t>
      </w:r>
      <w:r>
        <w:rPr>
          <w:sz w:val="18"/>
        </w:rPr>
        <w:t>liability</w:t>
      </w:r>
      <w:r>
        <w:rPr>
          <w:spacing w:val="-4"/>
          <w:sz w:val="18"/>
        </w:rPr>
        <w:t xml:space="preserve"> </w:t>
      </w:r>
      <w:r>
        <w:rPr>
          <w:sz w:val="18"/>
        </w:rPr>
        <w:t>insurance</w:t>
      </w:r>
      <w:r>
        <w:rPr>
          <w:spacing w:val="-3"/>
          <w:sz w:val="18"/>
        </w:rPr>
        <w:t xml:space="preserve"> </w:t>
      </w:r>
      <w:r>
        <w:rPr>
          <w:sz w:val="18"/>
        </w:rPr>
        <w:t>with</w:t>
      </w:r>
      <w:r>
        <w:rPr>
          <w:spacing w:val="-3"/>
          <w:sz w:val="18"/>
        </w:rPr>
        <w:t xml:space="preserve"> </w:t>
      </w:r>
      <w:r>
        <w:rPr>
          <w:sz w:val="18"/>
        </w:rPr>
        <w:t>a</w:t>
      </w:r>
      <w:r>
        <w:rPr>
          <w:spacing w:val="-5"/>
          <w:sz w:val="18"/>
        </w:rPr>
        <w:t xml:space="preserve"> </w:t>
      </w:r>
      <w:r>
        <w:rPr>
          <w:sz w:val="18"/>
        </w:rPr>
        <w:t>minimum</w:t>
      </w:r>
      <w:r>
        <w:rPr>
          <w:spacing w:val="-2"/>
          <w:sz w:val="18"/>
        </w:rPr>
        <w:t xml:space="preserve"> </w:t>
      </w:r>
      <w:r>
        <w:rPr>
          <w:sz w:val="18"/>
        </w:rPr>
        <w:t>combined</w:t>
      </w:r>
      <w:r>
        <w:rPr>
          <w:spacing w:val="-3"/>
          <w:sz w:val="18"/>
        </w:rPr>
        <w:t xml:space="preserve"> </w:t>
      </w:r>
      <w:r>
        <w:rPr>
          <w:sz w:val="18"/>
        </w:rPr>
        <w:t>single</w:t>
      </w:r>
      <w:r>
        <w:rPr>
          <w:spacing w:val="-3"/>
          <w:sz w:val="18"/>
        </w:rPr>
        <w:t xml:space="preserve"> </w:t>
      </w:r>
      <w:r>
        <w:rPr>
          <w:sz w:val="18"/>
        </w:rPr>
        <w:t>limit</w:t>
      </w:r>
      <w:r>
        <w:rPr>
          <w:spacing w:val="-3"/>
          <w:sz w:val="18"/>
        </w:rPr>
        <w:t xml:space="preserve"> </w:t>
      </w:r>
      <w:r>
        <w:rPr>
          <w:sz w:val="18"/>
        </w:rPr>
        <w:t>of</w:t>
      </w:r>
      <w:r>
        <w:rPr>
          <w:spacing w:val="-5"/>
          <w:sz w:val="18"/>
        </w:rPr>
        <w:t xml:space="preserve"> </w:t>
      </w:r>
      <w:r>
        <w:rPr>
          <w:sz w:val="18"/>
        </w:rPr>
        <w:t>$1,000,000.00. Include MCS90 endorsement (if hazardous waste will be transported by vendor's auto) with minimum property damage limits of $1,000,000.00 each</w:t>
      </w:r>
      <w:r>
        <w:rPr>
          <w:spacing w:val="-6"/>
          <w:sz w:val="18"/>
        </w:rPr>
        <w:t xml:space="preserve"> </w:t>
      </w:r>
      <w:r>
        <w:rPr>
          <w:sz w:val="18"/>
        </w:rPr>
        <w:t>occurrence.</w:t>
      </w:r>
    </w:p>
    <w:p w14:paraId="3ACB0C01" w14:textId="77777777" w:rsidR="003758F7" w:rsidRDefault="003758F7">
      <w:pPr>
        <w:pStyle w:val="BodyText"/>
        <w:spacing w:before="3"/>
        <w:ind w:left="0"/>
      </w:pPr>
    </w:p>
    <w:p w14:paraId="1A985FA7" w14:textId="77777777" w:rsidR="003758F7" w:rsidRDefault="00E05B7A">
      <w:pPr>
        <w:pStyle w:val="BodyText"/>
        <w:ind w:left="100" w:right="84"/>
      </w:pPr>
      <w:r>
        <w:t xml:space="preserve">If during the term of this contract, changed conditions or other pertinent factors, should in the reasonable judgment of the City, render inadequate the insurance limits, the Supplier will furnish on demand such additional coverage as may reasonably be required under the circumstances. All such insurance shall be </w:t>
      </w:r>
      <w:proofErr w:type="gramStart"/>
      <w:r>
        <w:t>effected</w:t>
      </w:r>
      <w:proofErr w:type="gramEnd"/>
      <w:r>
        <w:t xml:space="preserve"> at the Supplier's expense, under valid and enforceable policies issued by insurers licensed to conduct business in Michigan.</w:t>
      </w:r>
    </w:p>
    <w:p w14:paraId="629A429D" w14:textId="77777777" w:rsidR="003758F7" w:rsidRDefault="003758F7">
      <w:pPr>
        <w:pStyle w:val="BodyText"/>
        <w:spacing w:before="4"/>
        <w:ind w:left="0"/>
      </w:pPr>
    </w:p>
    <w:p w14:paraId="52FA5CAC" w14:textId="77777777" w:rsidR="003758F7" w:rsidRDefault="00E05B7A">
      <w:pPr>
        <w:pStyle w:val="BodyText"/>
        <w:spacing w:before="1"/>
        <w:ind w:left="100" w:right="144"/>
      </w:pPr>
      <w:r>
        <w:t>All policies shall name the Supplier as the insured and shall be accompanied by a commitment from the insurer that such policies shall not be canceled or reduced without at least thirty (30) days' prior notice to the City. The Commercial General Liability insurance policy shall name the "City of Detroit" as an additional insured. Certificates of insurance evidencing such coverage shall be submitted to the Office of Contracting and Procurement prior to the commencement of performance under this contract and at least fifteen (15) days prior to the expiration dates of expiring policies.</w:t>
      </w:r>
    </w:p>
    <w:p w14:paraId="69C211F1" w14:textId="77777777" w:rsidR="003758F7" w:rsidRDefault="003758F7">
      <w:pPr>
        <w:pStyle w:val="BodyText"/>
        <w:spacing w:before="1"/>
        <w:ind w:left="0"/>
      </w:pPr>
    </w:p>
    <w:p w14:paraId="55373420" w14:textId="77777777" w:rsidR="003758F7" w:rsidRDefault="00E05B7A">
      <w:pPr>
        <w:pStyle w:val="ListParagraph"/>
        <w:numPr>
          <w:ilvl w:val="0"/>
          <w:numId w:val="1"/>
        </w:numPr>
        <w:tabs>
          <w:tab w:val="left" w:pos="1041"/>
          <w:tab w:val="left" w:pos="1042"/>
        </w:tabs>
        <w:spacing w:before="1" w:line="207" w:lineRule="exact"/>
        <w:ind w:hanging="361"/>
        <w:rPr>
          <w:sz w:val="18"/>
        </w:rPr>
      </w:pPr>
      <w:r>
        <w:rPr>
          <w:sz w:val="18"/>
        </w:rPr>
        <w:t>SUBMISSION OF ANY REQUIRED BONDS OR</w:t>
      </w:r>
      <w:r>
        <w:rPr>
          <w:spacing w:val="-4"/>
          <w:sz w:val="18"/>
        </w:rPr>
        <w:t xml:space="preserve"> </w:t>
      </w:r>
      <w:r>
        <w:rPr>
          <w:sz w:val="18"/>
        </w:rPr>
        <w:t>INSURANCE</w:t>
      </w:r>
    </w:p>
    <w:p w14:paraId="41D786D7" w14:textId="77777777" w:rsidR="003758F7" w:rsidRDefault="00E05B7A">
      <w:pPr>
        <w:pStyle w:val="BodyText"/>
        <w:ind w:right="123"/>
      </w:pPr>
      <w:r>
        <w:t>Receipt of bonds and/or insurance is part of the process of determining which Supplier may be recommended for award to the City Council. If cause is found to change the recommendation that a Supplier be awarded the contract, or if the City Council does not approve the recommendation, the City shall not be liable for any costs incurred by you in the bid process, including the cost of acquiring bonds and/or insurance.</w:t>
      </w:r>
    </w:p>
    <w:p w14:paraId="045CD06F" w14:textId="77777777" w:rsidR="003758F7" w:rsidRDefault="003758F7">
      <w:pPr>
        <w:pStyle w:val="BodyText"/>
        <w:spacing w:before="1"/>
        <w:ind w:left="0"/>
      </w:pPr>
    </w:p>
    <w:p w14:paraId="77B4DC22" w14:textId="77777777" w:rsidR="003758F7" w:rsidRDefault="00E05B7A">
      <w:pPr>
        <w:pStyle w:val="ListParagraph"/>
        <w:numPr>
          <w:ilvl w:val="0"/>
          <w:numId w:val="1"/>
        </w:numPr>
        <w:tabs>
          <w:tab w:val="left" w:pos="1041"/>
          <w:tab w:val="left" w:pos="1042"/>
        </w:tabs>
        <w:ind w:hanging="361"/>
        <w:rPr>
          <w:sz w:val="18"/>
        </w:rPr>
      </w:pPr>
      <w:r>
        <w:rPr>
          <w:sz w:val="18"/>
        </w:rPr>
        <w:t>INVOICING</w:t>
      </w:r>
    </w:p>
    <w:p w14:paraId="706DEBD3" w14:textId="77777777" w:rsidR="003758F7" w:rsidRDefault="00E05B7A">
      <w:pPr>
        <w:pStyle w:val="BodyText"/>
        <w:spacing w:before="2"/>
        <w:ind w:right="379"/>
      </w:pPr>
      <w:r>
        <w:t xml:space="preserve">All suppliers must register in the Supplier Portal for invoicing for payment. Invoice submission instructions for Supplier Portal usage can be found on the City of Detroit's website at </w:t>
      </w:r>
      <w:hyperlink r:id="rId9">
        <w:r>
          <w:rPr>
            <w:u w:val="single"/>
          </w:rPr>
          <w:t>http://www.detroitmi.gov/Supplier</w:t>
        </w:r>
        <w:r>
          <w:t xml:space="preserve">. </w:t>
        </w:r>
      </w:hyperlink>
      <w:r>
        <w:t>Suppliers are required to be set up for Automatic Clearing House (wireless payment) in order to receive payment.</w:t>
      </w:r>
    </w:p>
    <w:p w14:paraId="43FCF803" w14:textId="77777777" w:rsidR="003758F7" w:rsidRDefault="003758F7">
      <w:pPr>
        <w:pStyle w:val="BodyText"/>
        <w:spacing w:before="2"/>
        <w:ind w:left="0"/>
      </w:pPr>
    </w:p>
    <w:p w14:paraId="5AC35664" w14:textId="77777777" w:rsidR="003758F7" w:rsidRDefault="00E05B7A">
      <w:pPr>
        <w:pStyle w:val="BodyText"/>
      </w:pPr>
      <w:r>
        <w:t>Invoices Must Meet The Following Conditions For Payment:</w:t>
      </w:r>
    </w:p>
    <w:p w14:paraId="12D6293A" w14:textId="77777777" w:rsidR="003758F7" w:rsidRDefault="003758F7">
      <w:pPr>
        <w:pStyle w:val="BodyText"/>
        <w:spacing w:before="4"/>
        <w:ind w:left="0"/>
      </w:pPr>
    </w:p>
    <w:p w14:paraId="3CF842F4" w14:textId="77777777" w:rsidR="003758F7" w:rsidRDefault="00E05B7A">
      <w:pPr>
        <w:pStyle w:val="BodyText"/>
        <w:ind w:right="384"/>
      </w:pPr>
      <w:r>
        <w:t>All invoices submitted against the contract must include part or item numbers and/or description. The quantity (for goods) and/or amount (for services) must correlate to the price listed on the contract or purchase order.</w:t>
      </w:r>
    </w:p>
    <w:p w14:paraId="1B2D5CEA" w14:textId="77777777" w:rsidR="003758F7" w:rsidRDefault="003758F7">
      <w:pPr>
        <w:pStyle w:val="BodyText"/>
        <w:spacing w:before="3"/>
        <w:ind w:left="0"/>
      </w:pPr>
    </w:p>
    <w:p w14:paraId="3652416B" w14:textId="77777777" w:rsidR="003758F7" w:rsidRDefault="00E05B7A">
      <w:pPr>
        <w:pStyle w:val="BodyText"/>
        <w:spacing w:before="1"/>
        <w:ind w:right="94"/>
      </w:pPr>
      <w:r>
        <w:t xml:space="preserve">Invoicing for goods and/or services should only be entered in the Supplier Portal </w:t>
      </w:r>
      <w:r>
        <w:rPr>
          <w:u w:val="single"/>
        </w:rPr>
        <w:t>after</w:t>
      </w:r>
      <w:r>
        <w:t xml:space="preserve"> they have been shipped </w:t>
      </w:r>
      <w:r>
        <w:rPr>
          <w:u w:val="single"/>
          <w:shd w:val="clear" w:color="auto" w:fill="FFFF00"/>
        </w:rPr>
        <w:t>Invoicing before is prohibited</w:t>
      </w:r>
      <w:r>
        <w:t xml:space="preserve"> and will result in the delay of payment. Failure to comply is considered non-compliant to the terms of your contract or purchase order.</w:t>
      </w:r>
    </w:p>
    <w:p w14:paraId="0CA4797F" w14:textId="77777777" w:rsidR="003758F7" w:rsidRDefault="003758F7">
      <w:pPr>
        <w:pStyle w:val="BodyText"/>
        <w:spacing w:before="4"/>
        <w:ind w:left="0"/>
      </w:pPr>
    </w:p>
    <w:p w14:paraId="1CD5A587" w14:textId="77777777" w:rsidR="003758F7" w:rsidRDefault="00E05B7A">
      <w:pPr>
        <w:pStyle w:val="BodyText"/>
      </w:pPr>
      <w:r>
        <w:t>Timely submission of invoices will result in timely payments.</w:t>
      </w:r>
    </w:p>
    <w:p w14:paraId="4B3BDBD9" w14:textId="77777777" w:rsidR="003758F7" w:rsidRDefault="003758F7">
      <w:pPr>
        <w:pStyle w:val="BodyText"/>
        <w:spacing w:before="1"/>
        <w:ind w:left="0"/>
      </w:pPr>
    </w:p>
    <w:p w14:paraId="526DE953" w14:textId="77777777" w:rsidR="003758F7" w:rsidRDefault="00E05B7A">
      <w:pPr>
        <w:pStyle w:val="BodyText"/>
        <w:spacing w:before="1"/>
      </w:pPr>
      <w:r>
        <w:t>Questions should be directed to</w:t>
      </w:r>
      <w:r>
        <w:rPr>
          <w:spacing w:val="-23"/>
        </w:rPr>
        <w:t xml:space="preserve"> </w:t>
      </w:r>
      <w:hyperlink r:id="rId10">
        <w:r>
          <w:rPr>
            <w:u w:val="single"/>
          </w:rPr>
          <w:t>procurementinthecloud@detroitmi.gov</w:t>
        </w:r>
        <w:r>
          <w:t>.</w:t>
        </w:r>
      </w:hyperlink>
    </w:p>
    <w:p w14:paraId="5D9CF8A8" w14:textId="77777777" w:rsidR="003758F7" w:rsidRDefault="003758F7">
      <w:pPr>
        <w:pStyle w:val="BodyText"/>
        <w:spacing w:before="6"/>
        <w:ind w:left="0"/>
        <w:rPr>
          <w:sz w:val="10"/>
        </w:rPr>
      </w:pPr>
    </w:p>
    <w:p w14:paraId="69FC2743" w14:textId="77777777" w:rsidR="003758F7" w:rsidRDefault="00E05B7A">
      <w:pPr>
        <w:pStyle w:val="ListParagraph"/>
        <w:numPr>
          <w:ilvl w:val="0"/>
          <w:numId w:val="1"/>
        </w:numPr>
        <w:tabs>
          <w:tab w:val="left" w:pos="1041"/>
          <w:tab w:val="left" w:pos="1042"/>
        </w:tabs>
        <w:spacing w:before="94"/>
        <w:ind w:hanging="361"/>
        <w:rPr>
          <w:sz w:val="18"/>
        </w:rPr>
      </w:pPr>
      <w:r>
        <w:rPr>
          <w:sz w:val="18"/>
        </w:rPr>
        <w:t>PROTECTION OF WORK, PERSONS, AND</w:t>
      </w:r>
      <w:r>
        <w:rPr>
          <w:spacing w:val="-7"/>
          <w:sz w:val="18"/>
        </w:rPr>
        <w:t xml:space="preserve"> </w:t>
      </w:r>
      <w:r>
        <w:rPr>
          <w:sz w:val="18"/>
        </w:rPr>
        <w:t>PROPERTY</w:t>
      </w:r>
    </w:p>
    <w:p w14:paraId="097B1434" w14:textId="77777777" w:rsidR="003758F7" w:rsidRDefault="00E05B7A">
      <w:pPr>
        <w:pStyle w:val="BodyText"/>
        <w:spacing w:before="2"/>
        <w:ind w:right="53"/>
      </w:pPr>
      <w:r>
        <w:t>During performance and up to the date of final acceptance, the Supplier shall be under absolute obligation to protect the finished and unfinished work against any damage, loss or injury. The Supplier shall take all reasonable precautions to protect the persons and property of the City from damage, loss or injury during performance under this contract.</w:t>
      </w:r>
    </w:p>
    <w:p w14:paraId="51C2C0B8" w14:textId="77777777" w:rsidR="003758F7" w:rsidRDefault="003758F7">
      <w:pPr>
        <w:pStyle w:val="BodyText"/>
        <w:spacing w:before="9"/>
        <w:ind w:left="0"/>
      </w:pPr>
    </w:p>
    <w:p w14:paraId="376824AB" w14:textId="77777777" w:rsidR="003758F7" w:rsidRDefault="00E05B7A">
      <w:pPr>
        <w:pStyle w:val="ListParagraph"/>
        <w:numPr>
          <w:ilvl w:val="0"/>
          <w:numId w:val="1"/>
        </w:numPr>
        <w:tabs>
          <w:tab w:val="left" w:pos="1042"/>
        </w:tabs>
        <w:ind w:hanging="361"/>
        <w:rPr>
          <w:sz w:val="18"/>
        </w:rPr>
      </w:pPr>
      <w:r>
        <w:rPr>
          <w:sz w:val="18"/>
        </w:rPr>
        <w:t>CLEARANCES</w:t>
      </w:r>
    </w:p>
    <w:p w14:paraId="31537516" w14:textId="77777777" w:rsidR="003758F7" w:rsidRDefault="00E05B7A">
      <w:pPr>
        <w:pStyle w:val="BodyText"/>
        <w:spacing w:before="2"/>
        <w:ind w:right="179"/>
      </w:pPr>
      <w:r>
        <w:t xml:space="preserve">The successful Supplier will be required to obtain approved clearances from the Income Tax Division, Revenue Collections Division and Human Rights Department prior to City Council approval of the contract. Clearance forms for these agencies can </w:t>
      </w:r>
      <w:hyperlink r:id="rId11">
        <w:r>
          <w:t xml:space="preserve">be found in the BidSync system www.bidsync.com. </w:t>
        </w:r>
      </w:hyperlink>
      <w:r>
        <w:t>It is the Supplier's responsibility to obtain and maintain clearances. Approved clearances are not required to submit the bid, but will be required of the successful Supplier prior to City Council approval.</w:t>
      </w:r>
    </w:p>
    <w:p w14:paraId="69BF92F9" w14:textId="77777777" w:rsidR="003758F7" w:rsidRDefault="003758F7">
      <w:pPr>
        <w:pStyle w:val="BodyText"/>
        <w:spacing w:before="9"/>
        <w:ind w:left="0"/>
      </w:pPr>
    </w:p>
    <w:p w14:paraId="75764D52" w14:textId="77777777" w:rsidR="003758F7" w:rsidRDefault="00E05B7A">
      <w:pPr>
        <w:pStyle w:val="ListParagraph"/>
        <w:numPr>
          <w:ilvl w:val="0"/>
          <w:numId w:val="1"/>
        </w:numPr>
        <w:tabs>
          <w:tab w:val="left" w:pos="1042"/>
        </w:tabs>
        <w:ind w:hanging="361"/>
        <w:rPr>
          <w:sz w:val="18"/>
        </w:rPr>
      </w:pPr>
      <w:r>
        <w:rPr>
          <w:sz w:val="18"/>
        </w:rPr>
        <w:t>NON-DISCRIMINATION</w:t>
      </w:r>
      <w:r>
        <w:rPr>
          <w:spacing w:val="-1"/>
          <w:sz w:val="18"/>
        </w:rPr>
        <w:t xml:space="preserve"> </w:t>
      </w:r>
      <w:r>
        <w:rPr>
          <w:sz w:val="18"/>
        </w:rPr>
        <w:t>CLAUSE</w:t>
      </w:r>
    </w:p>
    <w:p w14:paraId="56812E16" w14:textId="77777777" w:rsidR="003758F7" w:rsidRDefault="003758F7">
      <w:pPr>
        <w:rPr>
          <w:sz w:val="18"/>
        </w:rPr>
        <w:sectPr w:rsidR="003758F7" w:rsidSect="00340859">
          <w:pgSz w:w="12240" w:h="15840"/>
          <w:pgMar w:top="1520" w:right="980" w:bottom="1440" w:left="800" w:header="729" w:footer="1255" w:gutter="0"/>
          <w:cols w:space="720"/>
        </w:sectPr>
      </w:pPr>
    </w:p>
    <w:p w14:paraId="34D1E007" w14:textId="77777777" w:rsidR="003758F7" w:rsidRDefault="00E05B7A">
      <w:pPr>
        <w:pStyle w:val="BodyText"/>
        <w:spacing w:before="42"/>
        <w:ind w:right="103"/>
      </w:pPr>
      <w:r>
        <w:lastRenderedPageBreak/>
        <w:t xml:space="preserve">In accordance with all Federal and State Legislation and Regulations governing Fair Employment, including, but not limited to, Title VII of the Civil Rights Act of 1964 the Michigan Civil Rights Act and the Michigan Handicappers Civil Rights Act, the Supplier agrees that it will not discriminate against employees or applicants for employment with respect to hire, tenure, terms, conditions or privileges of employment because of religion, race, color, national origin, age, sex, height, weight, marital status or handicap that is unrelated to the ability of the individual to perform the duties of a particular assignment or position. The Supplier recognizes the right of the United States and the State of Michigan to seek judicial enforcement of the foregoing covenants against the Supplier or its sub-Contractors, or both, </w:t>
      </w:r>
      <w:proofErr w:type="gramStart"/>
      <w:r>
        <w:t>in order to</w:t>
      </w:r>
      <w:proofErr w:type="gramEnd"/>
      <w:r>
        <w:t xml:space="preserve"> provide for efficient cooperation and coordination in the handling of Contract compliance programs as provided in the Elliott-Larsen Civil Rights Act, as amended, and the Michigan Handicappers Civil Rights Act, as amended. The Detroit Human Rights Department, The Detroit Human Rights Commission, the Michigan Department of Civil Rights and the Michigan Civil Rights Commission by mutual agreement, have authorized the Detroit Human Rights Department in a contract compliance program to monitor all Suppliers doing business with the City and to review the employment practices of Suppliers seeking to do business with the City prior to entering into a contract so that the mandates of Section 209 of the Michigan Civil Rights Act are carried out. The Supplier agrees to include this paragraph number 3 in any subcontract. Breach of this covenant may be regarded as a material breach of the contract.</w:t>
      </w:r>
    </w:p>
    <w:p w14:paraId="728C44CE" w14:textId="77777777" w:rsidR="003758F7" w:rsidRDefault="003758F7">
      <w:pPr>
        <w:pStyle w:val="BodyText"/>
        <w:spacing w:before="5"/>
        <w:ind w:left="0"/>
        <w:rPr>
          <w:sz w:val="19"/>
        </w:rPr>
      </w:pPr>
    </w:p>
    <w:p w14:paraId="0A3891FE" w14:textId="77777777" w:rsidR="003758F7" w:rsidRDefault="00E05B7A">
      <w:pPr>
        <w:pStyle w:val="ListParagraph"/>
        <w:numPr>
          <w:ilvl w:val="0"/>
          <w:numId w:val="1"/>
        </w:numPr>
        <w:tabs>
          <w:tab w:val="left" w:pos="1042"/>
        </w:tabs>
        <w:spacing w:before="1"/>
        <w:ind w:hanging="361"/>
        <w:rPr>
          <w:sz w:val="18"/>
        </w:rPr>
      </w:pPr>
      <w:r>
        <w:rPr>
          <w:sz w:val="18"/>
        </w:rPr>
        <w:t>UNIT PRICES, NOTATIONS, AND</w:t>
      </w:r>
      <w:r>
        <w:rPr>
          <w:spacing w:val="-7"/>
          <w:sz w:val="18"/>
        </w:rPr>
        <w:t xml:space="preserve"> </w:t>
      </w:r>
      <w:r>
        <w:rPr>
          <w:sz w:val="18"/>
        </w:rPr>
        <w:t>WORKMANSHIP</w:t>
      </w:r>
    </w:p>
    <w:p w14:paraId="37457A31" w14:textId="77777777" w:rsidR="003758F7" w:rsidRDefault="00E05B7A">
      <w:pPr>
        <w:pStyle w:val="BodyText"/>
        <w:spacing w:before="1"/>
        <w:ind w:right="154"/>
      </w:pPr>
      <w:r>
        <w:t>Prices and notations must be typed or in ink. Prices shall be for new items only unless specified otherwise in this Bid Response Document. No erasures or "white-outs" are permitted. Mistakes may be crossed out and corrections entered and initialed in ink by the persons signing the bid document. Unit prices shall be stated based on units specified. The Supplier may quote on all or a portion of a quantity as specified. Quote on each item separately and indicate brand name or make. All materials furnished must be new, of latest model and standard first-grade quality, of best workmanship and design, unless expressly specified.</w:t>
      </w:r>
    </w:p>
    <w:p w14:paraId="7F6D7720" w14:textId="77777777" w:rsidR="003758F7" w:rsidRDefault="003758F7">
      <w:pPr>
        <w:pStyle w:val="BodyText"/>
        <w:spacing w:before="3"/>
        <w:ind w:left="0"/>
      </w:pPr>
    </w:p>
    <w:p w14:paraId="257FF1D9" w14:textId="77777777" w:rsidR="003758F7" w:rsidRDefault="00E05B7A">
      <w:pPr>
        <w:pStyle w:val="ListParagraph"/>
        <w:numPr>
          <w:ilvl w:val="0"/>
          <w:numId w:val="1"/>
        </w:numPr>
        <w:tabs>
          <w:tab w:val="left" w:pos="1042"/>
        </w:tabs>
        <w:spacing w:before="1" w:line="207" w:lineRule="exact"/>
        <w:ind w:hanging="361"/>
        <w:rPr>
          <w:sz w:val="18"/>
        </w:rPr>
      </w:pPr>
      <w:r>
        <w:rPr>
          <w:sz w:val="18"/>
        </w:rPr>
        <w:t>PRICES</w:t>
      </w:r>
      <w:r>
        <w:rPr>
          <w:spacing w:val="-1"/>
          <w:sz w:val="18"/>
        </w:rPr>
        <w:t xml:space="preserve"> </w:t>
      </w:r>
      <w:r>
        <w:rPr>
          <w:sz w:val="18"/>
        </w:rPr>
        <w:t>QUOTED</w:t>
      </w:r>
    </w:p>
    <w:p w14:paraId="386DE8F9" w14:textId="77777777" w:rsidR="003758F7" w:rsidRDefault="00E05B7A">
      <w:pPr>
        <w:pStyle w:val="BodyText"/>
        <w:ind w:right="479"/>
        <w:jc w:val="both"/>
      </w:pPr>
      <w:r>
        <w:t>Prices quoted must be net of discounts. Discounts will be considered in the determination of best value Supplier, provided discounts correspond for the duration of the contract. Where net is equal to bid with discount deducted, award will be made to the net bid. The Supplier shall extend and total the bids.</w:t>
      </w:r>
    </w:p>
    <w:p w14:paraId="6B8F7BCF" w14:textId="77777777" w:rsidR="003758F7" w:rsidRDefault="003758F7">
      <w:pPr>
        <w:pStyle w:val="BodyText"/>
        <w:spacing w:before="9"/>
        <w:ind w:left="0"/>
      </w:pPr>
    </w:p>
    <w:p w14:paraId="7A8DAEDB" w14:textId="77777777" w:rsidR="003758F7" w:rsidRDefault="00E05B7A">
      <w:pPr>
        <w:pStyle w:val="ListParagraph"/>
        <w:numPr>
          <w:ilvl w:val="0"/>
          <w:numId w:val="1"/>
        </w:numPr>
        <w:tabs>
          <w:tab w:val="left" w:pos="1042"/>
        </w:tabs>
        <w:ind w:hanging="361"/>
        <w:rPr>
          <w:sz w:val="18"/>
        </w:rPr>
      </w:pPr>
      <w:r>
        <w:rPr>
          <w:sz w:val="18"/>
        </w:rPr>
        <w:t>SALES TAX</w:t>
      </w:r>
      <w:r>
        <w:rPr>
          <w:spacing w:val="-4"/>
          <w:sz w:val="18"/>
        </w:rPr>
        <w:t xml:space="preserve"> </w:t>
      </w:r>
      <w:r>
        <w:rPr>
          <w:sz w:val="18"/>
        </w:rPr>
        <w:t>EXEMPTION</w:t>
      </w:r>
    </w:p>
    <w:p w14:paraId="2879EEBD" w14:textId="77777777" w:rsidR="003758F7" w:rsidRDefault="00E05B7A">
      <w:pPr>
        <w:pStyle w:val="BodyText"/>
        <w:spacing w:before="2"/>
        <w:ind w:right="179"/>
      </w:pPr>
      <w:r>
        <w:t>The City is exempt from sales tax on those articles which the City buys for its own use. Articles bought by the Supplier and incorporated into other products are taxable to the Supplier. Such tax should be included in the price and will not be paid as an extra by the City. Sales tax is excluded from incorporated products when the final product is sold to non-profit housing projects.</w:t>
      </w:r>
    </w:p>
    <w:p w14:paraId="68C880C7" w14:textId="77777777" w:rsidR="003758F7" w:rsidRDefault="003758F7">
      <w:pPr>
        <w:pStyle w:val="BodyText"/>
        <w:spacing w:before="2"/>
        <w:ind w:left="0"/>
      </w:pPr>
    </w:p>
    <w:p w14:paraId="6F01545E" w14:textId="77777777" w:rsidR="003758F7" w:rsidRDefault="00E05B7A">
      <w:pPr>
        <w:pStyle w:val="ListParagraph"/>
        <w:numPr>
          <w:ilvl w:val="0"/>
          <w:numId w:val="1"/>
        </w:numPr>
        <w:tabs>
          <w:tab w:val="left" w:pos="1042"/>
        </w:tabs>
        <w:spacing w:line="207" w:lineRule="exact"/>
        <w:ind w:hanging="361"/>
        <w:rPr>
          <w:sz w:val="18"/>
        </w:rPr>
      </w:pPr>
      <w:r>
        <w:rPr>
          <w:sz w:val="18"/>
        </w:rPr>
        <w:t>SPECIFICATIONS, CHANGE OF SPECIFICATION, AND ERRORS OR</w:t>
      </w:r>
      <w:r>
        <w:rPr>
          <w:spacing w:val="-1"/>
          <w:sz w:val="18"/>
        </w:rPr>
        <w:t xml:space="preserve"> </w:t>
      </w:r>
      <w:r>
        <w:rPr>
          <w:sz w:val="18"/>
        </w:rPr>
        <w:t>OMISSION</w:t>
      </w:r>
    </w:p>
    <w:p w14:paraId="210E8094" w14:textId="77777777" w:rsidR="003758F7" w:rsidRDefault="00E05B7A">
      <w:pPr>
        <w:pStyle w:val="BodyText"/>
        <w:ind w:right="84"/>
      </w:pPr>
      <w:r>
        <w:t xml:space="preserve">Specifications which refer to brand names are given for reference. Suppliers may quote on equivalent articles, </w:t>
      </w:r>
      <w:proofErr w:type="gramStart"/>
      <w:r>
        <w:t>provided that</w:t>
      </w:r>
      <w:proofErr w:type="gramEnd"/>
      <w:r>
        <w:t xml:space="preserve"> brand name and catalog number(s) and any deviations are noted on the bid form and complete descriptive literature is furnished. Exceptions will state "Do Not Substitute." The decision of the City shall be final. If any of the terms and conditions prevent you from bidding, or if you wish to request revisions of specifications, or a change in quantity which will result in lower unit cost to the City, or get an interpretation, your request will receive consideration if presented to the City as much in advance of bid submission deadline as possible. If any change is found desirable while the bid is current, the City will notify the Suppliers of the bid revision electronically and if required extend bid submission date. Suppliers are not permitted to take advantage of any errors or omissions in specifications since full instructions will be given should they be discovered before bid submission date.</w:t>
      </w:r>
    </w:p>
    <w:p w14:paraId="44676CEE" w14:textId="77777777" w:rsidR="003758F7" w:rsidRDefault="003758F7">
      <w:pPr>
        <w:pStyle w:val="BodyText"/>
        <w:spacing w:before="11"/>
        <w:ind w:left="0"/>
      </w:pPr>
    </w:p>
    <w:p w14:paraId="4ECAC505" w14:textId="77777777" w:rsidR="003758F7" w:rsidRDefault="00E05B7A">
      <w:pPr>
        <w:pStyle w:val="BodyText"/>
        <w:ind w:right="84"/>
      </w:pPr>
      <w:r>
        <w:t>Specifications referred to herein are used to indicate desired type, and/or construction, and/or operation. Other products and/or services may be offered if deviations from specifications are minor and if all deviations are properly outlined and stated in the bid document. Failure to outline all deviations will be grounds for rejection of your bid.</w:t>
      </w:r>
    </w:p>
    <w:p w14:paraId="53F5337F" w14:textId="77777777" w:rsidR="003758F7" w:rsidRDefault="003758F7">
      <w:pPr>
        <w:pStyle w:val="BodyText"/>
        <w:spacing w:before="5"/>
        <w:ind w:left="0"/>
      </w:pPr>
    </w:p>
    <w:p w14:paraId="00C57172" w14:textId="77777777" w:rsidR="003758F7" w:rsidRDefault="00E05B7A">
      <w:pPr>
        <w:pStyle w:val="BodyText"/>
        <w:ind w:right="84"/>
      </w:pPr>
      <w:r>
        <w:t>The decision of the City of Detroit, acting through the Chief Procurement Officer, shall be final as to what constitutes acceptable deviations from specifications.</w:t>
      </w:r>
    </w:p>
    <w:p w14:paraId="319DE1E1" w14:textId="77777777" w:rsidR="003758F7" w:rsidRDefault="003758F7">
      <w:pPr>
        <w:pStyle w:val="BodyText"/>
        <w:spacing w:before="10"/>
        <w:ind w:left="0"/>
      </w:pPr>
    </w:p>
    <w:p w14:paraId="10EF48D0" w14:textId="77777777" w:rsidR="003758F7" w:rsidRDefault="00E05B7A">
      <w:pPr>
        <w:pStyle w:val="ListParagraph"/>
        <w:numPr>
          <w:ilvl w:val="0"/>
          <w:numId w:val="1"/>
        </w:numPr>
        <w:tabs>
          <w:tab w:val="left" w:pos="1042"/>
        </w:tabs>
        <w:spacing w:line="207" w:lineRule="exact"/>
        <w:ind w:hanging="361"/>
        <w:rPr>
          <w:sz w:val="18"/>
        </w:rPr>
      </w:pPr>
      <w:r>
        <w:rPr>
          <w:sz w:val="18"/>
        </w:rPr>
        <w:t>RECEIPT OF</w:t>
      </w:r>
      <w:r>
        <w:rPr>
          <w:spacing w:val="-3"/>
          <w:sz w:val="18"/>
        </w:rPr>
        <w:t xml:space="preserve"> </w:t>
      </w:r>
      <w:r>
        <w:rPr>
          <w:sz w:val="18"/>
        </w:rPr>
        <w:t>BIDS</w:t>
      </w:r>
    </w:p>
    <w:p w14:paraId="46C90AE6" w14:textId="77777777" w:rsidR="003758F7" w:rsidRDefault="00E05B7A">
      <w:pPr>
        <w:pStyle w:val="BodyText"/>
        <w:ind w:right="94"/>
      </w:pPr>
      <w:r>
        <w:t>Bids must be received by the Office of Contracting and Procurement through the electronic bid system (e.g. BidSync) prior to the date and time specified on the face of this bid package unless otherwise authorized. Late bids cannot be</w:t>
      </w:r>
    </w:p>
    <w:p w14:paraId="29B3E5A5" w14:textId="77777777" w:rsidR="003758F7" w:rsidRDefault="003758F7">
      <w:pPr>
        <w:sectPr w:rsidR="003758F7" w:rsidSect="00340859">
          <w:pgSz w:w="12240" w:h="15840"/>
          <w:pgMar w:top="1520" w:right="980" w:bottom="1440" w:left="800" w:header="729" w:footer="1255" w:gutter="0"/>
          <w:cols w:space="720"/>
        </w:sectPr>
      </w:pPr>
    </w:p>
    <w:p w14:paraId="757DC30E" w14:textId="77777777" w:rsidR="003758F7" w:rsidRDefault="00E05B7A">
      <w:pPr>
        <w:pStyle w:val="BodyText"/>
        <w:spacing w:before="44"/>
        <w:ind w:right="344"/>
      </w:pPr>
      <w:r>
        <w:lastRenderedPageBreak/>
        <w:t>accepted except in extenuating circumstance such as Bid Sync system failure. The responsibility of getting bids to the Office of Contracting and Procurement on time rests entirely with the Supplier.</w:t>
      </w:r>
    </w:p>
    <w:p w14:paraId="74B0E14D" w14:textId="77777777" w:rsidR="003758F7" w:rsidRDefault="003758F7">
      <w:pPr>
        <w:pStyle w:val="BodyText"/>
        <w:spacing w:before="10"/>
        <w:ind w:left="0"/>
        <w:rPr>
          <w:sz w:val="17"/>
        </w:rPr>
      </w:pPr>
    </w:p>
    <w:p w14:paraId="40C0327F" w14:textId="77777777" w:rsidR="003758F7" w:rsidRDefault="00E05B7A">
      <w:pPr>
        <w:pStyle w:val="ListParagraph"/>
        <w:numPr>
          <w:ilvl w:val="0"/>
          <w:numId w:val="1"/>
        </w:numPr>
        <w:tabs>
          <w:tab w:val="left" w:pos="1042"/>
        </w:tabs>
        <w:ind w:hanging="361"/>
        <w:rPr>
          <w:sz w:val="18"/>
        </w:rPr>
      </w:pPr>
      <w:r>
        <w:rPr>
          <w:sz w:val="18"/>
        </w:rPr>
        <w:t>WITHDRAWAL</w:t>
      </w:r>
    </w:p>
    <w:p w14:paraId="285DFECA" w14:textId="77777777" w:rsidR="003758F7" w:rsidRDefault="00E05B7A">
      <w:pPr>
        <w:pStyle w:val="BodyText"/>
        <w:spacing w:before="2"/>
        <w:ind w:right="475"/>
        <w:jc w:val="both"/>
      </w:pPr>
      <w:r>
        <w:t>No bid shall be withdrawn for (90) ninety days from submission deadline unless otherwise stated in this bid form. Suppliers</w:t>
      </w:r>
      <w:r>
        <w:rPr>
          <w:spacing w:val="-3"/>
        </w:rPr>
        <w:t xml:space="preserve"> </w:t>
      </w:r>
      <w:r>
        <w:t>may</w:t>
      </w:r>
      <w:r>
        <w:rPr>
          <w:spacing w:val="-4"/>
        </w:rPr>
        <w:t xml:space="preserve"> </w:t>
      </w:r>
      <w:r>
        <w:t>reduce</w:t>
      </w:r>
      <w:r>
        <w:rPr>
          <w:spacing w:val="-2"/>
        </w:rPr>
        <w:t xml:space="preserve"> </w:t>
      </w:r>
      <w:r>
        <w:t>this period</w:t>
      </w:r>
      <w:r>
        <w:rPr>
          <w:spacing w:val="-2"/>
        </w:rPr>
        <w:t xml:space="preserve"> </w:t>
      </w:r>
      <w:r>
        <w:t>if</w:t>
      </w:r>
      <w:r>
        <w:rPr>
          <w:spacing w:val="-4"/>
        </w:rPr>
        <w:t xml:space="preserve"> </w:t>
      </w:r>
      <w:r>
        <w:t>stated</w:t>
      </w:r>
      <w:r>
        <w:rPr>
          <w:spacing w:val="-3"/>
        </w:rPr>
        <w:t xml:space="preserve"> </w:t>
      </w:r>
      <w:r>
        <w:t>on</w:t>
      </w:r>
      <w:r>
        <w:rPr>
          <w:spacing w:val="-2"/>
        </w:rPr>
        <w:t xml:space="preserve"> </w:t>
      </w:r>
      <w:r>
        <w:t>bid,</w:t>
      </w:r>
      <w:r>
        <w:rPr>
          <w:spacing w:val="-2"/>
        </w:rPr>
        <w:t xml:space="preserve"> </w:t>
      </w:r>
      <w:r>
        <w:t>but</w:t>
      </w:r>
      <w:r>
        <w:rPr>
          <w:spacing w:val="-3"/>
        </w:rPr>
        <w:t xml:space="preserve"> </w:t>
      </w:r>
      <w:r>
        <w:t>such</w:t>
      </w:r>
      <w:r>
        <w:rPr>
          <w:spacing w:val="-2"/>
        </w:rPr>
        <w:t xml:space="preserve"> </w:t>
      </w:r>
      <w:r>
        <w:t>bids</w:t>
      </w:r>
      <w:r>
        <w:rPr>
          <w:spacing w:val="-1"/>
        </w:rPr>
        <w:t xml:space="preserve"> </w:t>
      </w:r>
      <w:r>
        <w:t>may</w:t>
      </w:r>
      <w:r>
        <w:rPr>
          <w:spacing w:val="-3"/>
        </w:rPr>
        <w:t xml:space="preserve"> </w:t>
      </w:r>
      <w:r>
        <w:t>be</w:t>
      </w:r>
      <w:r>
        <w:rPr>
          <w:spacing w:val="-2"/>
        </w:rPr>
        <w:t xml:space="preserve"> </w:t>
      </w:r>
      <w:r>
        <w:t>rejected</w:t>
      </w:r>
      <w:r>
        <w:rPr>
          <w:spacing w:val="-4"/>
        </w:rPr>
        <w:t xml:space="preserve"> </w:t>
      </w:r>
      <w:proofErr w:type="gramStart"/>
      <w:r>
        <w:t>on</w:t>
      </w:r>
      <w:r>
        <w:rPr>
          <w:spacing w:val="-2"/>
        </w:rPr>
        <w:t xml:space="preserve"> </w:t>
      </w:r>
      <w:r>
        <w:t>the</w:t>
      </w:r>
      <w:r>
        <w:rPr>
          <w:spacing w:val="-1"/>
        </w:rPr>
        <w:t xml:space="preserve"> </w:t>
      </w:r>
      <w:r>
        <w:t>basis</w:t>
      </w:r>
      <w:r>
        <w:rPr>
          <w:spacing w:val="-1"/>
        </w:rPr>
        <w:t xml:space="preserve"> </w:t>
      </w:r>
      <w:r>
        <w:t>of</w:t>
      </w:r>
      <w:proofErr w:type="gramEnd"/>
      <w:r>
        <w:rPr>
          <w:spacing w:val="-2"/>
        </w:rPr>
        <w:t xml:space="preserve"> </w:t>
      </w:r>
      <w:r>
        <w:t>the</w:t>
      </w:r>
      <w:r>
        <w:rPr>
          <w:spacing w:val="-1"/>
        </w:rPr>
        <w:t xml:space="preserve"> </w:t>
      </w:r>
      <w:r>
        <w:t>reduced</w:t>
      </w:r>
      <w:r>
        <w:rPr>
          <w:spacing w:val="-2"/>
        </w:rPr>
        <w:t xml:space="preserve"> </w:t>
      </w:r>
      <w:r>
        <w:t>time period.</w:t>
      </w:r>
    </w:p>
    <w:p w14:paraId="39045E41" w14:textId="77777777" w:rsidR="003758F7" w:rsidRDefault="003758F7">
      <w:pPr>
        <w:pStyle w:val="BodyText"/>
        <w:spacing w:before="9"/>
        <w:ind w:left="0"/>
      </w:pPr>
    </w:p>
    <w:p w14:paraId="77A0B967" w14:textId="77777777" w:rsidR="003758F7" w:rsidRDefault="00E05B7A">
      <w:pPr>
        <w:pStyle w:val="ListParagraph"/>
        <w:numPr>
          <w:ilvl w:val="0"/>
          <w:numId w:val="1"/>
        </w:numPr>
        <w:tabs>
          <w:tab w:val="left" w:pos="1042"/>
        </w:tabs>
        <w:spacing w:before="1"/>
        <w:ind w:hanging="361"/>
        <w:rPr>
          <w:sz w:val="18"/>
        </w:rPr>
      </w:pPr>
      <w:r>
        <w:rPr>
          <w:sz w:val="18"/>
        </w:rPr>
        <w:t>AWARD</w:t>
      </w:r>
      <w:r>
        <w:rPr>
          <w:spacing w:val="-2"/>
          <w:sz w:val="18"/>
        </w:rPr>
        <w:t xml:space="preserve"> </w:t>
      </w:r>
      <w:r>
        <w:rPr>
          <w:sz w:val="18"/>
        </w:rPr>
        <w:t>CONDITIONS</w:t>
      </w:r>
    </w:p>
    <w:p w14:paraId="6BF5A3CB" w14:textId="77777777" w:rsidR="003758F7" w:rsidRDefault="00E05B7A">
      <w:pPr>
        <w:pStyle w:val="BodyText"/>
        <w:spacing w:before="1"/>
        <w:ind w:right="419"/>
        <w:jc w:val="both"/>
      </w:pPr>
      <w:r>
        <w:t>The</w:t>
      </w:r>
      <w:r>
        <w:rPr>
          <w:spacing w:val="-2"/>
        </w:rPr>
        <w:t xml:space="preserve"> </w:t>
      </w:r>
      <w:r>
        <w:t>City</w:t>
      </w:r>
      <w:r>
        <w:rPr>
          <w:spacing w:val="-3"/>
        </w:rPr>
        <w:t xml:space="preserve"> </w:t>
      </w:r>
      <w:r>
        <w:t>reserves</w:t>
      </w:r>
      <w:r>
        <w:rPr>
          <w:spacing w:val="-3"/>
        </w:rPr>
        <w:t xml:space="preserve"> </w:t>
      </w:r>
      <w:r>
        <w:t>the</w:t>
      </w:r>
      <w:r>
        <w:rPr>
          <w:spacing w:val="-4"/>
        </w:rPr>
        <w:t xml:space="preserve"> </w:t>
      </w:r>
      <w:r>
        <w:t>unqualified</w:t>
      </w:r>
      <w:r>
        <w:rPr>
          <w:spacing w:val="-2"/>
        </w:rPr>
        <w:t xml:space="preserve"> </w:t>
      </w:r>
      <w:r>
        <w:t>right</w:t>
      </w:r>
      <w:r>
        <w:rPr>
          <w:spacing w:val="-2"/>
        </w:rPr>
        <w:t xml:space="preserve"> </w:t>
      </w:r>
      <w:r>
        <w:t>to</w:t>
      </w:r>
      <w:r>
        <w:rPr>
          <w:spacing w:val="-4"/>
        </w:rPr>
        <w:t xml:space="preserve"> </w:t>
      </w:r>
      <w:r>
        <w:t>award</w:t>
      </w:r>
      <w:r>
        <w:rPr>
          <w:spacing w:val="-2"/>
        </w:rPr>
        <w:t xml:space="preserve"> </w:t>
      </w:r>
      <w:r>
        <w:t>by</w:t>
      </w:r>
      <w:r>
        <w:rPr>
          <w:spacing w:val="-4"/>
        </w:rPr>
        <w:t xml:space="preserve"> </w:t>
      </w:r>
      <w:r>
        <w:t>item(s)</w:t>
      </w:r>
      <w:r>
        <w:rPr>
          <w:spacing w:val="-4"/>
        </w:rPr>
        <w:t xml:space="preserve"> </w:t>
      </w:r>
      <w:r>
        <w:t>unless</w:t>
      </w:r>
      <w:r>
        <w:rPr>
          <w:spacing w:val="-1"/>
        </w:rPr>
        <w:t xml:space="preserve"> </w:t>
      </w:r>
      <w:r>
        <w:t>otherwise</w:t>
      </w:r>
      <w:r>
        <w:rPr>
          <w:spacing w:val="-2"/>
        </w:rPr>
        <w:t xml:space="preserve"> </w:t>
      </w:r>
      <w:r>
        <w:t>stipulated,</w:t>
      </w:r>
      <w:r>
        <w:rPr>
          <w:spacing w:val="-2"/>
        </w:rPr>
        <w:t xml:space="preserve"> </w:t>
      </w:r>
      <w:r>
        <w:t>to</w:t>
      </w:r>
      <w:r>
        <w:rPr>
          <w:spacing w:val="-1"/>
        </w:rPr>
        <w:t xml:space="preserve"> </w:t>
      </w:r>
      <w:r>
        <w:t>waive</w:t>
      </w:r>
      <w:r>
        <w:rPr>
          <w:spacing w:val="-2"/>
        </w:rPr>
        <w:t xml:space="preserve"> </w:t>
      </w:r>
      <w:r>
        <w:t>any</w:t>
      </w:r>
      <w:r>
        <w:rPr>
          <w:spacing w:val="-4"/>
        </w:rPr>
        <w:t xml:space="preserve"> </w:t>
      </w:r>
      <w:r>
        <w:t>irregularity</w:t>
      </w:r>
      <w:r>
        <w:rPr>
          <w:spacing w:val="-3"/>
        </w:rPr>
        <w:t xml:space="preserve"> </w:t>
      </w:r>
      <w:r>
        <w:t>in any</w:t>
      </w:r>
      <w:r>
        <w:rPr>
          <w:spacing w:val="-4"/>
        </w:rPr>
        <w:t xml:space="preserve"> </w:t>
      </w:r>
      <w:r>
        <w:t>bid</w:t>
      </w:r>
      <w:r>
        <w:rPr>
          <w:spacing w:val="-3"/>
        </w:rPr>
        <w:t xml:space="preserve"> </w:t>
      </w:r>
      <w:r>
        <w:t>or</w:t>
      </w:r>
      <w:r>
        <w:rPr>
          <w:spacing w:val="-1"/>
        </w:rPr>
        <w:t xml:space="preserve"> </w:t>
      </w:r>
      <w:r>
        <w:t>to</w:t>
      </w:r>
      <w:r>
        <w:rPr>
          <w:spacing w:val="-1"/>
        </w:rPr>
        <w:t xml:space="preserve"> </w:t>
      </w:r>
      <w:r>
        <w:t>reject</w:t>
      </w:r>
      <w:r>
        <w:rPr>
          <w:spacing w:val="-1"/>
        </w:rPr>
        <w:t xml:space="preserve"> </w:t>
      </w:r>
      <w:proofErr w:type="gramStart"/>
      <w:r>
        <w:t>any</w:t>
      </w:r>
      <w:r>
        <w:rPr>
          <w:spacing w:val="-3"/>
        </w:rPr>
        <w:t xml:space="preserve"> </w:t>
      </w:r>
      <w:r>
        <w:t>and</w:t>
      </w:r>
      <w:r>
        <w:rPr>
          <w:spacing w:val="-3"/>
        </w:rPr>
        <w:t xml:space="preserve"> </w:t>
      </w:r>
      <w:r>
        <w:t>all</w:t>
      </w:r>
      <w:proofErr w:type="gramEnd"/>
      <w:r>
        <w:rPr>
          <w:spacing w:val="-3"/>
        </w:rPr>
        <w:t xml:space="preserve"> </w:t>
      </w:r>
      <w:r>
        <w:t>bids</w:t>
      </w:r>
      <w:r>
        <w:rPr>
          <w:spacing w:val="-3"/>
        </w:rPr>
        <w:t xml:space="preserve"> </w:t>
      </w:r>
      <w:r>
        <w:t>when,</w:t>
      </w:r>
      <w:r>
        <w:rPr>
          <w:spacing w:val="-1"/>
        </w:rPr>
        <w:t xml:space="preserve"> </w:t>
      </w:r>
      <w:r>
        <w:t>in</w:t>
      </w:r>
      <w:r>
        <w:rPr>
          <w:spacing w:val="-3"/>
        </w:rPr>
        <w:t xml:space="preserve"> </w:t>
      </w:r>
      <w:r>
        <w:t>the</w:t>
      </w:r>
      <w:r>
        <w:rPr>
          <w:spacing w:val="-3"/>
        </w:rPr>
        <w:t xml:space="preserve"> </w:t>
      </w:r>
      <w:r>
        <w:t>judgment</w:t>
      </w:r>
      <w:r>
        <w:rPr>
          <w:spacing w:val="-1"/>
        </w:rPr>
        <w:t xml:space="preserve"> </w:t>
      </w:r>
      <w:r>
        <w:t>of</w:t>
      </w:r>
      <w:r>
        <w:rPr>
          <w:spacing w:val="-3"/>
        </w:rPr>
        <w:t xml:space="preserve"> </w:t>
      </w:r>
      <w:r>
        <w:t>the</w:t>
      </w:r>
      <w:r>
        <w:rPr>
          <w:spacing w:val="-1"/>
        </w:rPr>
        <w:t xml:space="preserve"> </w:t>
      </w:r>
      <w:r>
        <w:t>City,</w:t>
      </w:r>
      <w:r>
        <w:rPr>
          <w:spacing w:val="-1"/>
        </w:rPr>
        <w:t xml:space="preserve"> </w:t>
      </w:r>
      <w:r>
        <w:t>the</w:t>
      </w:r>
      <w:r>
        <w:rPr>
          <w:spacing w:val="-2"/>
        </w:rPr>
        <w:t xml:space="preserve"> </w:t>
      </w:r>
      <w:r>
        <w:t>best</w:t>
      </w:r>
      <w:r>
        <w:rPr>
          <w:spacing w:val="-1"/>
        </w:rPr>
        <w:t xml:space="preserve"> </w:t>
      </w:r>
      <w:r>
        <w:t>interest</w:t>
      </w:r>
      <w:r>
        <w:rPr>
          <w:spacing w:val="-3"/>
        </w:rPr>
        <w:t xml:space="preserve"> </w:t>
      </w:r>
      <w:r>
        <w:t>of</w:t>
      </w:r>
      <w:r>
        <w:rPr>
          <w:spacing w:val="-1"/>
        </w:rPr>
        <w:t xml:space="preserve"> </w:t>
      </w:r>
      <w:r>
        <w:t>the</w:t>
      </w:r>
      <w:r>
        <w:rPr>
          <w:spacing w:val="-3"/>
        </w:rPr>
        <w:t xml:space="preserve"> </w:t>
      </w:r>
      <w:r>
        <w:t>City</w:t>
      </w:r>
      <w:r>
        <w:rPr>
          <w:spacing w:val="-2"/>
        </w:rPr>
        <w:t xml:space="preserve"> </w:t>
      </w:r>
      <w:r>
        <w:t>will</w:t>
      </w:r>
      <w:r>
        <w:rPr>
          <w:spacing w:val="-1"/>
        </w:rPr>
        <w:t xml:space="preserve"> </w:t>
      </w:r>
      <w:r>
        <w:t>be</w:t>
      </w:r>
      <w:r>
        <w:rPr>
          <w:spacing w:val="-1"/>
        </w:rPr>
        <w:t xml:space="preserve"> </w:t>
      </w:r>
      <w:r>
        <w:t>served.</w:t>
      </w:r>
    </w:p>
    <w:p w14:paraId="49999ADB" w14:textId="77777777" w:rsidR="003758F7" w:rsidRDefault="003758F7">
      <w:pPr>
        <w:pStyle w:val="BodyText"/>
        <w:spacing w:before="3"/>
        <w:ind w:left="0"/>
      </w:pPr>
    </w:p>
    <w:p w14:paraId="24D6A3FE" w14:textId="77777777" w:rsidR="003758F7" w:rsidRDefault="00E05B7A">
      <w:pPr>
        <w:pStyle w:val="BodyText"/>
        <w:spacing w:before="1"/>
        <w:ind w:right="123"/>
      </w:pPr>
      <w:r>
        <w:t xml:space="preserve">The award of a Contract will not be made to any Supplier who is in arrears in City taxes. Article V, Chapter 18 of the Detroit City Code, forbids the award of any contract to person(s) who are in arrears of City real estate, personal property and/or income taxes. To ensure compliance with the above ordinance, Suppliers may check the City of Detroit website, </w:t>
      </w:r>
      <w:hyperlink r:id="rId12">
        <w:r>
          <w:t xml:space="preserve">www.detroitmi.gov. </w:t>
        </w:r>
      </w:hyperlink>
      <w:r>
        <w:t>All awards will be made in accordance with the provisions of Article V, Chapter 18</w:t>
      </w:r>
      <w:r>
        <w:rPr>
          <w:spacing w:val="-3"/>
        </w:rPr>
        <w:t xml:space="preserve"> </w:t>
      </w:r>
      <w:r>
        <w:t>of</w:t>
      </w:r>
      <w:r>
        <w:rPr>
          <w:spacing w:val="-2"/>
        </w:rPr>
        <w:t xml:space="preserve"> </w:t>
      </w:r>
      <w:r>
        <w:t>the</w:t>
      </w:r>
      <w:r>
        <w:rPr>
          <w:spacing w:val="-2"/>
        </w:rPr>
        <w:t xml:space="preserve"> </w:t>
      </w:r>
      <w:r>
        <w:t>Detroit</w:t>
      </w:r>
      <w:r>
        <w:rPr>
          <w:spacing w:val="-2"/>
        </w:rPr>
        <w:t xml:space="preserve"> </w:t>
      </w:r>
      <w:r>
        <w:t>City</w:t>
      </w:r>
      <w:r>
        <w:rPr>
          <w:spacing w:val="-3"/>
        </w:rPr>
        <w:t xml:space="preserve"> </w:t>
      </w:r>
      <w:r>
        <w:t>Code</w:t>
      </w:r>
      <w:r>
        <w:rPr>
          <w:spacing w:val="-2"/>
        </w:rPr>
        <w:t xml:space="preserve"> </w:t>
      </w:r>
      <w:r>
        <w:t>which</w:t>
      </w:r>
      <w:r>
        <w:rPr>
          <w:spacing w:val="-3"/>
        </w:rPr>
        <w:t xml:space="preserve"> </w:t>
      </w:r>
      <w:r>
        <w:t>provides</w:t>
      </w:r>
      <w:r>
        <w:rPr>
          <w:spacing w:val="-4"/>
        </w:rPr>
        <w:t xml:space="preserve"> </w:t>
      </w:r>
      <w:r>
        <w:t>for</w:t>
      </w:r>
      <w:r>
        <w:rPr>
          <w:spacing w:val="-4"/>
        </w:rPr>
        <w:t xml:space="preserve"> </w:t>
      </w:r>
      <w:r>
        <w:t>purchasing</w:t>
      </w:r>
      <w:r>
        <w:rPr>
          <w:spacing w:val="-4"/>
        </w:rPr>
        <w:t xml:space="preserve"> </w:t>
      </w:r>
      <w:r>
        <w:t>and</w:t>
      </w:r>
      <w:r>
        <w:rPr>
          <w:spacing w:val="-2"/>
        </w:rPr>
        <w:t xml:space="preserve"> </w:t>
      </w:r>
      <w:r>
        <w:t>disposition</w:t>
      </w:r>
      <w:r>
        <w:rPr>
          <w:spacing w:val="-2"/>
        </w:rPr>
        <w:t xml:space="preserve"> </w:t>
      </w:r>
      <w:r>
        <w:t>of</w:t>
      </w:r>
      <w:r>
        <w:rPr>
          <w:spacing w:val="-2"/>
        </w:rPr>
        <w:t xml:space="preserve"> </w:t>
      </w:r>
      <w:r>
        <w:t>property</w:t>
      </w:r>
      <w:r>
        <w:rPr>
          <w:spacing w:val="-3"/>
        </w:rPr>
        <w:t xml:space="preserve"> </w:t>
      </w:r>
      <w:r>
        <w:t>consistent</w:t>
      </w:r>
      <w:r>
        <w:rPr>
          <w:spacing w:val="-4"/>
        </w:rPr>
        <w:t xml:space="preserve"> </w:t>
      </w:r>
      <w:r>
        <w:t>with</w:t>
      </w:r>
      <w:r>
        <w:rPr>
          <w:spacing w:val="-3"/>
        </w:rPr>
        <w:t xml:space="preserve"> </w:t>
      </w:r>
      <w:r>
        <w:t>the</w:t>
      </w:r>
      <w:r>
        <w:rPr>
          <w:spacing w:val="-2"/>
        </w:rPr>
        <w:t xml:space="preserve"> </w:t>
      </w:r>
      <w:r>
        <w:t>City</w:t>
      </w:r>
      <w:r>
        <w:rPr>
          <w:spacing w:val="-3"/>
        </w:rPr>
        <w:t xml:space="preserve"> </w:t>
      </w:r>
      <w:r>
        <w:t>Charter.</w:t>
      </w:r>
    </w:p>
    <w:p w14:paraId="595E1858" w14:textId="77777777" w:rsidR="003758F7" w:rsidRDefault="003758F7">
      <w:pPr>
        <w:pStyle w:val="BodyText"/>
        <w:spacing w:before="4"/>
        <w:ind w:left="0"/>
        <w:rPr>
          <w:sz w:val="29"/>
        </w:rPr>
      </w:pPr>
    </w:p>
    <w:p w14:paraId="09D8D657" w14:textId="77777777" w:rsidR="003758F7" w:rsidRDefault="00E05B7A">
      <w:pPr>
        <w:pStyle w:val="ListParagraph"/>
        <w:numPr>
          <w:ilvl w:val="0"/>
          <w:numId w:val="1"/>
        </w:numPr>
        <w:tabs>
          <w:tab w:val="left" w:pos="1042"/>
        </w:tabs>
        <w:spacing w:before="1" w:line="207" w:lineRule="exact"/>
        <w:ind w:hanging="361"/>
        <w:rPr>
          <w:sz w:val="18"/>
        </w:rPr>
      </w:pPr>
      <w:r>
        <w:rPr>
          <w:sz w:val="18"/>
        </w:rPr>
        <w:t>CONTRACT</w:t>
      </w:r>
      <w:r>
        <w:rPr>
          <w:spacing w:val="-3"/>
          <w:sz w:val="18"/>
        </w:rPr>
        <w:t xml:space="preserve"> </w:t>
      </w:r>
      <w:r>
        <w:rPr>
          <w:sz w:val="18"/>
        </w:rPr>
        <w:t>ACCEPTANCE</w:t>
      </w:r>
    </w:p>
    <w:p w14:paraId="5EA3906F" w14:textId="77777777" w:rsidR="003758F7" w:rsidRDefault="00E05B7A">
      <w:pPr>
        <w:pStyle w:val="BodyText"/>
        <w:ind w:right="179"/>
      </w:pPr>
      <w:r>
        <w:t>The successful Supplier shall be notified of the award of a contract by the City of Detroit upon issuance of a "Contract Award</w:t>
      </w:r>
    </w:p>
    <w:p w14:paraId="43E8E171" w14:textId="77777777" w:rsidR="003758F7" w:rsidRDefault="00E05B7A">
      <w:pPr>
        <w:pStyle w:val="BodyText"/>
        <w:spacing w:before="3"/>
        <w:ind w:right="84"/>
      </w:pPr>
      <w:r>
        <w:t>Notice" or a Purchase Order from the Office of Contracting and Procurement. The "Contract Award Notice" shall contain the date the contract award was approved.</w:t>
      </w:r>
    </w:p>
    <w:p w14:paraId="581D9433" w14:textId="77777777" w:rsidR="003758F7" w:rsidRDefault="003758F7">
      <w:pPr>
        <w:pStyle w:val="BodyText"/>
        <w:spacing w:before="10"/>
        <w:ind w:left="0"/>
      </w:pPr>
    </w:p>
    <w:p w14:paraId="01CB54CE" w14:textId="77777777" w:rsidR="003758F7" w:rsidRDefault="00E05B7A">
      <w:pPr>
        <w:pStyle w:val="ListParagraph"/>
        <w:numPr>
          <w:ilvl w:val="0"/>
          <w:numId w:val="1"/>
        </w:numPr>
        <w:tabs>
          <w:tab w:val="left" w:pos="1042"/>
        </w:tabs>
        <w:spacing w:line="207" w:lineRule="exact"/>
        <w:ind w:hanging="361"/>
        <w:rPr>
          <w:sz w:val="18"/>
        </w:rPr>
      </w:pPr>
      <w:r>
        <w:rPr>
          <w:sz w:val="18"/>
        </w:rPr>
        <w:t>START OF</w:t>
      </w:r>
      <w:r>
        <w:rPr>
          <w:spacing w:val="-7"/>
          <w:sz w:val="18"/>
        </w:rPr>
        <w:t xml:space="preserve"> </w:t>
      </w:r>
      <w:r>
        <w:rPr>
          <w:sz w:val="18"/>
        </w:rPr>
        <w:t>WORK</w:t>
      </w:r>
    </w:p>
    <w:p w14:paraId="70810201" w14:textId="77777777" w:rsidR="003758F7" w:rsidRDefault="00E05B7A">
      <w:pPr>
        <w:pStyle w:val="BodyText"/>
        <w:ind w:right="135"/>
      </w:pPr>
      <w:r>
        <w:t>No Contract shall become effective until the Contract has been approved by the required City Departments, signed by the City of Detroit Chief Procurement Officer, and approved by resolution of the Detroit City Council. Prior to the completion of this approval process, the Supplier will have no authority to begin work on this Contract. The Chief Procurement Officer shall not authorize any payments to the Supplier prior to such approvals, nor shall the City incur any liability to reimburse the Supplier regarding any expenditure for the purchase of materials or the payment of services.</w:t>
      </w:r>
    </w:p>
    <w:p w14:paraId="2036CFC9" w14:textId="77777777" w:rsidR="003758F7" w:rsidRDefault="003758F7">
      <w:pPr>
        <w:pStyle w:val="BodyText"/>
        <w:ind w:left="0"/>
      </w:pPr>
    </w:p>
    <w:p w14:paraId="71CE2051" w14:textId="77777777" w:rsidR="003758F7" w:rsidRDefault="00E05B7A">
      <w:pPr>
        <w:pStyle w:val="ListParagraph"/>
        <w:numPr>
          <w:ilvl w:val="0"/>
          <w:numId w:val="1"/>
        </w:numPr>
        <w:tabs>
          <w:tab w:val="left" w:pos="1042"/>
        </w:tabs>
        <w:spacing w:before="1"/>
        <w:ind w:hanging="361"/>
        <w:rPr>
          <w:sz w:val="18"/>
        </w:rPr>
      </w:pPr>
      <w:r>
        <w:rPr>
          <w:sz w:val="18"/>
        </w:rPr>
        <w:t>INSPECTION</w:t>
      </w:r>
    </w:p>
    <w:p w14:paraId="0BBABC83" w14:textId="77777777" w:rsidR="003758F7" w:rsidRDefault="00E05B7A">
      <w:pPr>
        <w:pStyle w:val="BodyText"/>
        <w:spacing w:before="2"/>
        <w:ind w:right="124"/>
      </w:pPr>
      <w:r>
        <w:t>All articles are subject to inspection and testing. In case any articles are defective in material and/or workmanship, or otherwise fail to meet requirements of this bid, the City shall have the right to reject or retain and correct such articles. The Supplier shall pay the City for expenses incurred in correcting defects. Rejected articles will be returned to Suppliers at their expense for handling, packing and transportation.</w:t>
      </w:r>
    </w:p>
    <w:p w14:paraId="15DEB573" w14:textId="77777777" w:rsidR="003758F7" w:rsidRDefault="003758F7">
      <w:pPr>
        <w:pStyle w:val="BodyText"/>
        <w:spacing w:before="11"/>
        <w:ind w:left="0"/>
        <w:rPr>
          <w:sz w:val="17"/>
        </w:rPr>
      </w:pPr>
    </w:p>
    <w:p w14:paraId="1BE3B7AC" w14:textId="77777777" w:rsidR="003758F7" w:rsidRDefault="00E05B7A">
      <w:pPr>
        <w:pStyle w:val="ListParagraph"/>
        <w:numPr>
          <w:ilvl w:val="0"/>
          <w:numId w:val="1"/>
        </w:numPr>
        <w:tabs>
          <w:tab w:val="left" w:pos="1042"/>
        </w:tabs>
        <w:ind w:hanging="361"/>
        <w:rPr>
          <w:sz w:val="18"/>
        </w:rPr>
      </w:pPr>
      <w:r>
        <w:rPr>
          <w:sz w:val="18"/>
        </w:rPr>
        <w:t>SUBCONTRACTING</w:t>
      </w:r>
    </w:p>
    <w:p w14:paraId="0A0A127C" w14:textId="77777777" w:rsidR="003758F7" w:rsidRDefault="00E05B7A">
      <w:pPr>
        <w:pStyle w:val="BodyText"/>
        <w:spacing w:before="4"/>
        <w:ind w:right="378"/>
        <w:jc w:val="both"/>
      </w:pPr>
      <w:r>
        <w:t>None</w:t>
      </w:r>
      <w:r>
        <w:rPr>
          <w:spacing w:val="-2"/>
        </w:rPr>
        <w:t xml:space="preserve"> </w:t>
      </w:r>
      <w:r>
        <w:t>of</w:t>
      </w:r>
      <w:r>
        <w:rPr>
          <w:spacing w:val="-4"/>
        </w:rPr>
        <w:t xml:space="preserve"> </w:t>
      </w:r>
      <w:r>
        <w:t>the</w:t>
      </w:r>
      <w:r>
        <w:rPr>
          <w:spacing w:val="-4"/>
        </w:rPr>
        <w:t xml:space="preserve"> </w:t>
      </w:r>
      <w:r>
        <w:t>services</w:t>
      </w:r>
      <w:r>
        <w:rPr>
          <w:spacing w:val="-3"/>
        </w:rPr>
        <w:t xml:space="preserve"> </w:t>
      </w:r>
      <w:r>
        <w:t>covered</w:t>
      </w:r>
      <w:r>
        <w:rPr>
          <w:spacing w:val="-4"/>
        </w:rPr>
        <w:t xml:space="preserve"> </w:t>
      </w:r>
      <w:r>
        <w:t>by</w:t>
      </w:r>
      <w:r>
        <w:rPr>
          <w:spacing w:val="-4"/>
        </w:rPr>
        <w:t xml:space="preserve"> </w:t>
      </w:r>
      <w:r>
        <w:t>this</w:t>
      </w:r>
      <w:r>
        <w:rPr>
          <w:spacing w:val="-1"/>
        </w:rPr>
        <w:t xml:space="preserve"> </w:t>
      </w:r>
      <w:r>
        <w:t>Contract</w:t>
      </w:r>
      <w:r>
        <w:rPr>
          <w:spacing w:val="-4"/>
        </w:rPr>
        <w:t xml:space="preserve"> </w:t>
      </w:r>
      <w:r>
        <w:t>shall</w:t>
      </w:r>
      <w:r>
        <w:rPr>
          <w:spacing w:val="-2"/>
        </w:rPr>
        <w:t xml:space="preserve"> </w:t>
      </w:r>
      <w:r>
        <w:t>be</w:t>
      </w:r>
      <w:r>
        <w:rPr>
          <w:spacing w:val="-2"/>
        </w:rPr>
        <w:t xml:space="preserve"> </w:t>
      </w:r>
      <w:r>
        <w:t>subcontracted</w:t>
      </w:r>
      <w:r>
        <w:rPr>
          <w:spacing w:val="-2"/>
        </w:rPr>
        <w:t xml:space="preserve"> </w:t>
      </w:r>
      <w:r>
        <w:t>without</w:t>
      </w:r>
      <w:r>
        <w:rPr>
          <w:spacing w:val="-4"/>
        </w:rPr>
        <w:t xml:space="preserve"> </w:t>
      </w:r>
      <w:r>
        <w:t>the</w:t>
      </w:r>
      <w:r>
        <w:rPr>
          <w:spacing w:val="-4"/>
        </w:rPr>
        <w:t xml:space="preserve"> </w:t>
      </w:r>
      <w:r>
        <w:t>prior,</w:t>
      </w:r>
      <w:r>
        <w:rPr>
          <w:spacing w:val="-2"/>
        </w:rPr>
        <w:t xml:space="preserve"> </w:t>
      </w:r>
      <w:r>
        <w:t>written</w:t>
      </w:r>
      <w:r>
        <w:rPr>
          <w:spacing w:val="-2"/>
        </w:rPr>
        <w:t xml:space="preserve"> </w:t>
      </w:r>
      <w:r>
        <w:t>approval</w:t>
      </w:r>
      <w:r>
        <w:rPr>
          <w:spacing w:val="-2"/>
        </w:rPr>
        <w:t xml:space="preserve"> </w:t>
      </w:r>
      <w:r>
        <w:t>of</w:t>
      </w:r>
      <w:r>
        <w:rPr>
          <w:spacing w:val="-2"/>
        </w:rPr>
        <w:t xml:space="preserve"> </w:t>
      </w:r>
      <w:r>
        <w:t>the</w:t>
      </w:r>
      <w:r>
        <w:rPr>
          <w:spacing w:val="-2"/>
        </w:rPr>
        <w:t xml:space="preserve"> </w:t>
      </w:r>
      <w:r>
        <w:t xml:space="preserve">City and </w:t>
      </w:r>
      <w:r>
        <w:rPr>
          <w:spacing w:val="-5"/>
        </w:rPr>
        <w:t xml:space="preserve">any </w:t>
      </w:r>
      <w:r>
        <w:t>grantor agency, if</w:t>
      </w:r>
      <w:r>
        <w:rPr>
          <w:spacing w:val="-13"/>
        </w:rPr>
        <w:t xml:space="preserve"> </w:t>
      </w:r>
      <w:r>
        <w:t>required.</w:t>
      </w:r>
    </w:p>
    <w:p w14:paraId="3F73E016" w14:textId="77777777" w:rsidR="003758F7" w:rsidRDefault="003758F7">
      <w:pPr>
        <w:pStyle w:val="BodyText"/>
        <w:spacing w:before="8"/>
        <w:ind w:left="0"/>
      </w:pPr>
    </w:p>
    <w:p w14:paraId="5B6878F1" w14:textId="77777777" w:rsidR="003758F7" w:rsidRDefault="00E05B7A">
      <w:pPr>
        <w:pStyle w:val="ListParagraph"/>
        <w:numPr>
          <w:ilvl w:val="0"/>
          <w:numId w:val="1"/>
        </w:numPr>
        <w:tabs>
          <w:tab w:val="left" w:pos="1042"/>
        </w:tabs>
        <w:spacing w:line="207" w:lineRule="exact"/>
        <w:ind w:hanging="361"/>
        <w:rPr>
          <w:sz w:val="18"/>
        </w:rPr>
      </w:pPr>
      <w:r>
        <w:rPr>
          <w:sz w:val="18"/>
        </w:rPr>
        <w:t>ASSIGNMENT</w:t>
      </w:r>
    </w:p>
    <w:p w14:paraId="51F4A44B" w14:textId="77777777" w:rsidR="003758F7" w:rsidRDefault="00E05B7A">
      <w:pPr>
        <w:pStyle w:val="BodyText"/>
        <w:ind w:right="84"/>
      </w:pPr>
      <w:r>
        <w:t>A Supplier shall not assign any purchase order or Contract or any monies due therefrom without prior approval of the City. Contact the Contracting and Procurement Specialist for proper procedure.</w:t>
      </w:r>
    </w:p>
    <w:p w14:paraId="314FBCEB" w14:textId="77777777" w:rsidR="003758F7" w:rsidRDefault="003758F7">
      <w:pPr>
        <w:pStyle w:val="BodyText"/>
        <w:spacing w:before="10"/>
        <w:ind w:left="0"/>
      </w:pPr>
    </w:p>
    <w:p w14:paraId="5B0F5DE2" w14:textId="77777777" w:rsidR="003758F7" w:rsidRDefault="00E05B7A">
      <w:pPr>
        <w:pStyle w:val="ListParagraph"/>
        <w:numPr>
          <w:ilvl w:val="0"/>
          <w:numId w:val="1"/>
        </w:numPr>
        <w:tabs>
          <w:tab w:val="left" w:pos="1042"/>
        </w:tabs>
        <w:ind w:hanging="361"/>
        <w:rPr>
          <w:sz w:val="18"/>
        </w:rPr>
      </w:pPr>
      <w:r>
        <w:rPr>
          <w:sz w:val="18"/>
        </w:rPr>
        <w:t>DEFAULT</w:t>
      </w:r>
    </w:p>
    <w:p w14:paraId="7791911F" w14:textId="77777777" w:rsidR="003758F7" w:rsidRDefault="00E05B7A">
      <w:pPr>
        <w:pStyle w:val="BodyText"/>
        <w:spacing w:before="2"/>
        <w:ind w:right="311"/>
        <w:jc w:val="both"/>
      </w:pPr>
      <w:r>
        <w:t>Default is defined as the failure of the Supplier to fulfill the obligations of their Contract. An event of default shall be construed as a material breach of this Contract.</w:t>
      </w:r>
    </w:p>
    <w:p w14:paraId="2679534A" w14:textId="77777777" w:rsidR="003758F7" w:rsidRDefault="003758F7">
      <w:pPr>
        <w:pStyle w:val="BodyText"/>
        <w:spacing w:before="10"/>
        <w:ind w:left="0"/>
      </w:pPr>
    </w:p>
    <w:p w14:paraId="177D0FA2" w14:textId="77777777" w:rsidR="003758F7" w:rsidRDefault="00E05B7A">
      <w:pPr>
        <w:pStyle w:val="ListParagraph"/>
        <w:numPr>
          <w:ilvl w:val="0"/>
          <w:numId w:val="1"/>
        </w:numPr>
        <w:tabs>
          <w:tab w:val="left" w:pos="1042"/>
        </w:tabs>
        <w:spacing w:line="207" w:lineRule="exact"/>
        <w:ind w:hanging="361"/>
        <w:rPr>
          <w:sz w:val="18"/>
        </w:rPr>
      </w:pPr>
      <w:r>
        <w:rPr>
          <w:sz w:val="18"/>
        </w:rPr>
        <w:t>DAMAGES FOR BREACH OF CONTRACT</w:t>
      </w:r>
    </w:p>
    <w:p w14:paraId="33CD73D9" w14:textId="77777777" w:rsidR="003758F7" w:rsidRDefault="00E05B7A">
      <w:pPr>
        <w:pStyle w:val="BodyText"/>
        <w:ind w:right="84"/>
      </w:pPr>
      <w:r>
        <w:t>The Supplier shall be liable to the City for any damages it sustains by virtue of the Supplier's breach, or any reasonable costs the City might incur enforcing or attempting to enforce this Contract, including, but not</w:t>
      </w:r>
    </w:p>
    <w:p w14:paraId="6BE215EF" w14:textId="77777777" w:rsidR="003758F7" w:rsidRDefault="003758F7">
      <w:pPr>
        <w:pStyle w:val="BodyText"/>
        <w:spacing w:before="1"/>
        <w:ind w:left="0"/>
      </w:pPr>
    </w:p>
    <w:p w14:paraId="5B706450" w14:textId="77777777" w:rsidR="003758F7" w:rsidRDefault="00E05B7A">
      <w:pPr>
        <w:pStyle w:val="BodyText"/>
        <w:ind w:right="89"/>
      </w:pPr>
      <w:r>
        <w:t xml:space="preserve">limited to, reasonable attorney's fees. The City may withhold any payment(s) to the Supplier for the purpose of set-off until such time as the exact </w:t>
      </w:r>
      <w:proofErr w:type="gramStart"/>
      <w:r>
        <w:t>amount</w:t>
      </w:r>
      <w:proofErr w:type="gramEnd"/>
      <w:r>
        <w:t xml:space="preserve"> of damages due to the City from the Supplier is determined. It is expressly</w:t>
      </w:r>
    </w:p>
    <w:p w14:paraId="01C53FE3" w14:textId="77777777" w:rsidR="003758F7" w:rsidRDefault="003758F7">
      <w:pPr>
        <w:sectPr w:rsidR="003758F7" w:rsidSect="00340859">
          <w:pgSz w:w="12240" w:h="15840"/>
          <w:pgMar w:top="1520" w:right="980" w:bottom="1440" w:left="800" w:header="729" w:footer="1255" w:gutter="0"/>
          <w:cols w:space="720"/>
        </w:sectPr>
      </w:pPr>
    </w:p>
    <w:p w14:paraId="07308D62" w14:textId="77777777" w:rsidR="003758F7" w:rsidRDefault="00E05B7A">
      <w:pPr>
        <w:pStyle w:val="BodyText"/>
        <w:spacing w:before="44"/>
        <w:ind w:right="179"/>
      </w:pPr>
      <w:r>
        <w:lastRenderedPageBreak/>
        <w:t xml:space="preserve">understood that the Supplier will remain liable for any damages the City sustains </w:t>
      </w:r>
      <w:proofErr w:type="gramStart"/>
      <w:r>
        <w:t>in excess of</w:t>
      </w:r>
      <w:proofErr w:type="gramEnd"/>
      <w:r>
        <w:t xml:space="preserve"> set-off. If the Contract is terminated for breach of Contract, the City may take over the </w:t>
      </w:r>
      <w:proofErr w:type="gramStart"/>
      <w:r>
        <w:t>services, and</w:t>
      </w:r>
      <w:proofErr w:type="gramEnd"/>
      <w:r>
        <w:t xml:space="preserve"> pursue the same to completion by Contract</w:t>
      </w:r>
      <w:r>
        <w:rPr>
          <w:spacing w:val="-2"/>
        </w:rPr>
        <w:t xml:space="preserve"> </w:t>
      </w:r>
      <w:r>
        <w:t>with</w:t>
      </w:r>
      <w:r>
        <w:rPr>
          <w:spacing w:val="-2"/>
        </w:rPr>
        <w:t xml:space="preserve"> </w:t>
      </w:r>
      <w:r>
        <w:t>another</w:t>
      </w:r>
      <w:r>
        <w:rPr>
          <w:spacing w:val="-4"/>
        </w:rPr>
        <w:t xml:space="preserve"> </w:t>
      </w:r>
      <w:r>
        <w:t>party</w:t>
      </w:r>
      <w:r>
        <w:rPr>
          <w:spacing w:val="-2"/>
        </w:rPr>
        <w:t xml:space="preserve"> </w:t>
      </w:r>
      <w:r>
        <w:t>or</w:t>
      </w:r>
      <w:r>
        <w:rPr>
          <w:spacing w:val="-4"/>
        </w:rPr>
        <w:t xml:space="preserve"> </w:t>
      </w:r>
      <w:r>
        <w:t>otherwise,</w:t>
      </w:r>
      <w:r>
        <w:rPr>
          <w:spacing w:val="-4"/>
        </w:rPr>
        <w:t xml:space="preserve"> </w:t>
      </w:r>
      <w:r>
        <w:t>and</w:t>
      </w:r>
      <w:r>
        <w:rPr>
          <w:spacing w:val="-2"/>
        </w:rPr>
        <w:t xml:space="preserve"> </w:t>
      </w:r>
      <w:r>
        <w:t>the</w:t>
      </w:r>
      <w:r>
        <w:rPr>
          <w:spacing w:val="-1"/>
        </w:rPr>
        <w:t xml:space="preserve"> </w:t>
      </w:r>
      <w:r>
        <w:t>Supplier</w:t>
      </w:r>
      <w:r>
        <w:rPr>
          <w:spacing w:val="-4"/>
        </w:rPr>
        <w:t xml:space="preserve"> </w:t>
      </w:r>
      <w:r>
        <w:t>shall</w:t>
      </w:r>
      <w:r>
        <w:rPr>
          <w:spacing w:val="-2"/>
        </w:rPr>
        <w:t xml:space="preserve"> </w:t>
      </w:r>
      <w:r>
        <w:t>be</w:t>
      </w:r>
      <w:r>
        <w:rPr>
          <w:spacing w:val="-2"/>
        </w:rPr>
        <w:t xml:space="preserve"> </w:t>
      </w:r>
      <w:r>
        <w:t>liable</w:t>
      </w:r>
      <w:r>
        <w:rPr>
          <w:spacing w:val="-1"/>
        </w:rPr>
        <w:t xml:space="preserve"> </w:t>
      </w:r>
      <w:r>
        <w:t>to</w:t>
      </w:r>
      <w:r>
        <w:rPr>
          <w:spacing w:val="-4"/>
        </w:rPr>
        <w:t xml:space="preserve"> </w:t>
      </w:r>
      <w:r>
        <w:t>the</w:t>
      </w:r>
      <w:r>
        <w:rPr>
          <w:spacing w:val="-2"/>
        </w:rPr>
        <w:t xml:space="preserve"> </w:t>
      </w:r>
      <w:r>
        <w:t>City</w:t>
      </w:r>
      <w:r>
        <w:rPr>
          <w:spacing w:val="-3"/>
        </w:rPr>
        <w:t xml:space="preserve"> </w:t>
      </w:r>
      <w:r>
        <w:t>for</w:t>
      </w:r>
      <w:r>
        <w:rPr>
          <w:spacing w:val="-1"/>
        </w:rPr>
        <w:t xml:space="preserve"> </w:t>
      </w:r>
      <w:r>
        <w:t>any</w:t>
      </w:r>
      <w:r>
        <w:rPr>
          <w:spacing w:val="-4"/>
        </w:rPr>
        <w:t xml:space="preserve"> </w:t>
      </w:r>
      <w:r>
        <w:t>and</w:t>
      </w:r>
      <w:r>
        <w:rPr>
          <w:spacing w:val="-2"/>
        </w:rPr>
        <w:t xml:space="preserve"> </w:t>
      </w:r>
      <w:r>
        <w:t>all</w:t>
      </w:r>
      <w:r>
        <w:rPr>
          <w:spacing w:val="-3"/>
        </w:rPr>
        <w:t xml:space="preserve"> </w:t>
      </w:r>
      <w:r>
        <w:t>costs</w:t>
      </w:r>
      <w:r>
        <w:rPr>
          <w:spacing w:val="-3"/>
        </w:rPr>
        <w:t xml:space="preserve"> </w:t>
      </w:r>
      <w:r>
        <w:t>occasioned to the City thereby. The City may assess upon the Supplier, for failure to meet any provision or condition of the Contract, liquidated damages up to the amount of 15% of the total contract price, or the amount of the cost incurred for</w:t>
      </w:r>
      <w:r>
        <w:rPr>
          <w:spacing w:val="-2"/>
        </w:rPr>
        <w:t xml:space="preserve"> </w:t>
      </w:r>
      <w:r>
        <w:t>the</w:t>
      </w:r>
      <w:r>
        <w:rPr>
          <w:spacing w:val="-4"/>
        </w:rPr>
        <w:t xml:space="preserve"> </w:t>
      </w:r>
      <w:r>
        <w:t>breach.</w:t>
      </w:r>
      <w:r>
        <w:rPr>
          <w:spacing w:val="-4"/>
        </w:rPr>
        <w:t xml:space="preserve"> </w:t>
      </w:r>
      <w:r>
        <w:t>Other</w:t>
      </w:r>
      <w:r>
        <w:rPr>
          <w:spacing w:val="-1"/>
        </w:rPr>
        <w:t xml:space="preserve"> </w:t>
      </w:r>
      <w:r>
        <w:t>remedies</w:t>
      </w:r>
      <w:r>
        <w:rPr>
          <w:spacing w:val="-4"/>
        </w:rPr>
        <w:t xml:space="preserve"> </w:t>
      </w:r>
      <w:r>
        <w:t>shall</w:t>
      </w:r>
      <w:r>
        <w:rPr>
          <w:spacing w:val="-2"/>
        </w:rPr>
        <w:t xml:space="preserve"> </w:t>
      </w:r>
      <w:r>
        <w:t>also</w:t>
      </w:r>
      <w:r>
        <w:rPr>
          <w:spacing w:val="-3"/>
        </w:rPr>
        <w:t xml:space="preserve"> </w:t>
      </w:r>
      <w:r>
        <w:t>be</w:t>
      </w:r>
      <w:r>
        <w:rPr>
          <w:spacing w:val="-4"/>
        </w:rPr>
        <w:t xml:space="preserve"> </w:t>
      </w:r>
      <w:r>
        <w:t>available</w:t>
      </w:r>
      <w:r>
        <w:rPr>
          <w:spacing w:val="-4"/>
        </w:rPr>
        <w:t xml:space="preserve"> </w:t>
      </w:r>
      <w:r>
        <w:t>to</w:t>
      </w:r>
      <w:r>
        <w:rPr>
          <w:spacing w:val="-1"/>
        </w:rPr>
        <w:t xml:space="preserve"> </w:t>
      </w:r>
      <w:r>
        <w:t>the</w:t>
      </w:r>
      <w:r>
        <w:rPr>
          <w:spacing w:val="-4"/>
        </w:rPr>
        <w:t xml:space="preserve"> </w:t>
      </w:r>
      <w:r>
        <w:t>City.</w:t>
      </w:r>
      <w:r>
        <w:rPr>
          <w:spacing w:val="-2"/>
        </w:rPr>
        <w:t xml:space="preserve"> </w:t>
      </w:r>
      <w:r>
        <w:t>The</w:t>
      </w:r>
      <w:r>
        <w:rPr>
          <w:spacing w:val="-1"/>
        </w:rPr>
        <w:t xml:space="preserve"> </w:t>
      </w:r>
      <w:r>
        <w:t>previous</w:t>
      </w:r>
      <w:r>
        <w:rPr>
          <w:spacing w:val="-1"/>
        </w:rPr>
        <w:t xml:space="preserve"> </w:t>
      </w:r>
      <w:r>
        <w:t>provisions</w:t>
      </w:r>
      <w:r>
        <w:rPr>
          <w:spacing w:val="-3"/>
        </w:rPr>
        <w:t xml:space="preserve"> </w:t>
      </w:r>
      <w:r>
        <w:t>outlined</w:t>
      </w:r>
      <w:r>
        <w:rPr>
          <w:spacing w:val="-3"/>
        </w:rPr>
        <w:t xml:space="preserve"> </w:t>
      </w:r>
      <w:r>
        <w:t>herein</w:t>
      </w:r>
      <w:r>
        <w:rPr>
          <w:spacing w:val="-4"/>
        </w:rPr>
        <w:t xml:space="preserve"> </w:t>
      </w:r>
      <w:r>
        <w:t>shall</w:t>
      </w:r>
      <w:r>
        <w:rPr>
          <w:spacing w:val="-2"/>
        </w:rPr>
        <w:t xml:space="preserve"> </w:t>
      </w:r>
      <w:r>
        <w:t>be</w:t>
      </w:r>
      <w:r>
        <w:rPr>
          <w:spacing w:val="-2"/>
        </w:rPr>
        <w:t xml:space="preserve"> </w:t>
      </w:r>
      <w:r>
        <w:t>in addition to any and all other legal or equitable remedies</w:t>
      </w:r>
      <w:r>
        <w:rPr>
          <w:spacing w:val="-16"/>
        </w:rPr>
        <w:t xml:space="preserve"> </w:t>
      </w:r>
      <w:r>
        <w:t>permissible.</w:t>
      </w:r>
    </w:p>
    <w:p w14:paraId="6CAC98A1" w14:textId="77777777" w:rsidR="003758F7" w:rsidRDefault="003758F7">
      <w:pPr>
        <w:pStyle w:val="BodyText"/>
        <w:spacing w:before="5"/>
        <w:ind w:left="0"/>
      </w:pPr>
    </w:p>
    <w:p w14:paraId="346859E2" w14:textId="77777777" w:rsidR="003758F7" w:rsidRDefault="00E05B7A">
      <w:pPr>
        <w:pStyle w:val="ListParagraph"/>
        <w:numPr>
          <w:ilvl w:val="0"/>
          <w:numId w:val="1"/>
        </w:numPr>
        <w:tabs>
          <w:tab w:val="left" w:pos="1042"/>
        </w:tabs>
        <w:ind w:hanging="361"/>
        <w:rPr>
          <w:sz w:val="18"/>
        </w:rPr>
      </w:pPr>
      <w:r>
        <w:rPr>
          <w:sz w:val="18"/>
        </w:rPr>
        <w:t>TERMINATION OF CONTRACT FOR</w:t>
      </w:r>
      <w:r>
        <w:rPr>
          <w:spacing w:val="-12"/>
          <w:sz w:val="18"/>
        </w:rPr>
        <w:t xml:space="preserve"> </w:t>
      </w:r>
      <w:r>
        <w:rPr>
          <w:sz w:val="18"/>
        </w:rPr>
        <w:t>CONVENIENCE</w:t>
      </w:r>
    </w:p>
    <w:p w14:paraId="224CF1F8" w14:textId="77777777" w:rsidR="003758F7" w:rsidRDefault="00E05B7A">
      <w:pPr>
        <w:pStyle w:val="BodyText"/>
        <w:spacing w:before="2"/>
        <w:ind w:right="84"/>
      </w:pPr>
      <w:r>
        <w:t>The City reserves the absolute right to terminate this contract in whole or in part, for the convenience of the City at its sole discretion on thirty (30) days written notice to the Supplier.</w:t>
      </w:r>
    </w:p>
    <w:p w14:paraId="7CEB79C7" w14:textId="77777777" w:rsidR="003758F7" w:rsidRDefault="003758F7">
      <w:pPr>
        <w:pStyle w:val="BodyText"/>
        <w:spacing w:before="10"/>
        <w:ind w:left="0"/>
      </w:pPr>
    </w:p>
    <w:p w14:paraId="70ABBA75" w14:textId="77777777" w:rsidR="003758F7" w:rsidRDefault="00E05B7A">
      <w:pPr>
        <w:pStyle w:val="ListParagraph"/>
        <w:numPr>
          <w:ilvl w:val="0"/>
          <w:numId w:val="1"/>
        </w:numPr>
        <w:tabs>
          <w:tab w:val="left" w:pos="1042"/>
        </w:tabs>
        <w:spacing w:line="207" w:lineRule="exact"/>
        <w:ind w:hanging="361"/>
        <w:rPr>
          <w:sz w:val="18"/>
        </w:rPr>
      </w:pPr>
      <w:r>
        <w:rPr>
          <w:sz w:val="18"/>
        </w:rPr>
        <w:t>TERMINATION OF CONTRACT FOR</w:t>
      </w:r>
      <w:r>
        <w:rPr>
          <w:spacing w:val="-4"/>
          <w:sz w:val="18"/>
        </w:rPr>
        <w:t xml:space="preserve"> </w:t>
      </w:r>
      <w:r>
        <w:rPr>
          <w:sz w:val="18"/>
        </w:rPr>
        <w:t>CAUSE</w:t>
      </w:r>
    </w:p>
    <w:p w14:paraId="071CFB64" w14:textId="77777777" w:rsidR="003758F7" w:rsidRDefault="00E05B7A">
      <w:pPr>
        <w:pStyle w:val="BodyText"/>
        <w:ind w:right="179"/>
      </w:pPr>
      <w:r>
        <w:t>The Supplier agrees that the City shall have the right to terminate the City's Contract with the Supplier for cause, as determined by the Chief Procurement Officer, without any liability whatsoever, upon the giving of ten (10) days' notice. Cause is an event of default due to the Supplier's failure to fulfill its obligations under the Contract.</w:t>
      </w:r>
    </w:p>
    <w:p w14:paraId="7DE4D98E" w14:textId="77777777" w:rsidR="003758F7" w:rsidRDefault="003758F7">
      <w:pPr>
        <w:pStyle w:val="BodyText"/>
        <w:spacing w:before="5"/>
        <w:ind w:left="0"/>
      </w:pPr>
    </w:p>
    <w:p w14:paraId="4F7B1F8F" w14:textId="77777777" w:rsidR="003758F7" w:rsidRDefault="00E05B7A">
      <w:pPr>
        <w:pStyle w:val="BodyText"/>
        <w:spacing w:before="1"/>
        <w:ind w:right="83"/>
      </w:pPr>
      <w:r>
        <w:t>At any time during the term of the contract the City may terminate the agreement for reason of poor or deficient work performance, inability of the Supplier to cure poor or deficient work performance, inability of the Supplier to supply trained competent technicians, or lack of service as described in this agreement by giving a 10-calendar day notice in writing. EITHER party may terminate the agreement by giving a 90-calendar day written notice to terminate.</w:t>
      </w:r>
    </w:p>
    <w:p w14:paraId="41769E45" w14:textId="77777777" w:rsidR="003758F7" w:rsidRDefault="003758F7">
      <w:pPr>
        <w:pStyle w:val="BodyText"/>
        <w:spacing w:before="1"/>
        <w:ind w:left="0"/>
      </w:pPr>
    </w:p>
    <w:p w14:paraId="7EA2976D" w14:textId="77777777" w:rsidR="003758F7" w:rsidRDefault="00E05B7A">
      <w:pPr>
        <w:pStyle w:val="ListParagraph"/>
        <w:numPr>
          <w:ilvl w:val="0"/>
          <w:numId w:val="1"/>
        </w:numPr>
        <w:tabs>
          <w:tab w:val="left" w:pos="1042"/>
        </w:tabs>
        <w:spacing w:line="207" w:lineRule="exact"/>
        <w:ind w:hanging="361"/>
        <w:rPr>
          <w:sz w:val="18"/>
        </w:rPr>
      </w:pPr>
      <w:r>
        <w:rPr>
          <w:sz w:val="18"/>
        </w:rPr>
        <w:t>AUDIT, INSPECTION OF RECORDS AND COST</w:t>
      </w:r>
      <w:r>
        <w:rPr>
          <w:spacing w:val="-4"/>
          <w:sz w:val="18"/>
        </w:rPr>
        <w:t xml:space="preserve"> </w:t>
      </w:r>
      <w:r>
        <w:rPr>
          <w:sz w:val="18"/>
        </w:rPr>
        <w:t>VERIFICATION</w:t>
      </w:r>
    </w:p>
    <w:p w14:paraId="3E98330C" w14:textId="77777777" w:rsidR="003758F7" w:rsidRDefault="00E05B7A">
      <w:pPr>
        <w:pStyle w:val="BodyText"/>
        <w:ind w:right="130"/>
      </w:pPr>
      <w:r>
        <w:t>The City reserves the right to audit the Supplier's payroll records to verify labor charges for work performed under this Contract upon 72 hours' notice. The Supplier shall permit the authorized representative of the City to inspect and audit all data and records of the Supplier relating to its performance under this Contract during the term of the Contract and for three (3) years after final payment. All records relating to this Contract shall be retained by the Supplier during the term of the Contract and for three (3) years after final payment for the purpose of such audit and inspection.</w:t>
      </w:r>
    </w:p>
    <w:p w14:paraId="6FEB3656" w14:textId="77777777" w:rsidR="003758F7" w:rsidRDefault="003758F7">
      <w:pPr>
        <w:pStyle w:val="BodyText"/>
        <w:spacing w:before="1"/>
        <w:ind w:left="0"/>
      </w:pPr>
    </w:p>
    <w:p w14:paraId="2D907F6C" w14:textId="77777777" w:rsidR="003758F7" w:rsidRDefault="00E05B7A">
      <w:pPr>
        <w:pStyle w:val="ListParagraph"/>
        <w:numPr>
          <w:ilvl w:val="0"/>
          <w:numId w:val="1"/>
        </w:numPr>
        <w:tabs>
          <w:tab w:val="left" w:pos="1042"/>
        </w:tabs>
        <w:ind w:hanging="361"/>
        <w:rPr>
          <w:sz w:val="18"/>
        </w:rPr>
      </w:pPr>
      <w:r>
        <w:rPr>
          <w:sz w:val="18"/>
        </w:rPr>
        <w:t>INDEMNITY</w:t>
      </w:r>
    </w:p>
    <w:p w14:paraId="1B752795" w14:textId="77777777" w:rsidR="003758F7" w:rsidRDefault="00E05B7A">
      <w:pPr>
        <w:pStyle w:val="BodyText"/>
        <w:spacing w:before="2"/>
        <w:ind w:right="123"/>
      </w:pPr>
      <w:r>
        <w:t>The Supplier agrees to indemnify, defend, and hold the City harmless against and from any and all liabilities, obligations, damages, penalties, claims costs, charges, losses and expenses (including without limitation, fees and expenses for attorneys, expert witnesses and other consultants), which may be imposed upon, incurred by or asserted against the City by reason of any negligent or tortious acts, errors, or omissions attributable to the Supplier, or any failure by the Supplier to perform its contractual obligations during the term of this Contract. This provision shall apply to all matters whether litigated or not, and shall include disputes between the Supplier, the City of Detroit, and any negligent or tortious acts, errors, or omissions attributable to the Supplier, its sub-Contractors or Agents.</w:t>
      </w:r>
    </w:p>
    <w:p w14:paraId="787C2E55" w14:textId="77777777" w:rsidR="003758F7" w:rsidRDefault="003758F7">
      <w:pPr>
        <w:pStyle w:val="BodyText"/>
        <w:spacing w:before="2"/>
        <w:ind w:left="0"/>
      </w:pPr>
    </w:p>
    <w:p w14:paraId="4F0A5D5A" w14:textId="77777777" w:rsidR="003758F7" w:rsidRDefault="00E05B7A">
      <w:pPr>
        <w:pStyle w:val="ListParagraph"/>
        <w:numPr>
          <w:ilvl w:val="0"/>
          <w:numId w:val="1"/>
        </w:numPr>
        <w:tabs>
          <w:tab w:val="left" w:pos="1042"/>
        </w:tabs>
        <w:spacing w:before="1" w:line="207" w:lineRule="exact"/>
        <w:ind w:hanging="361"/>
        <w:rPr>
          <w:sz w:val="18"/>
        </w:rPr>
      </w:pPr>
      <w:r>
        <w:rPr>
          <w:sz w:val="18"/>
        </w:rPr>
        <w:t>CONFLICT OF</w:t>
      </w:r>
      <w:r>
        <w:rPr>
          <w:spacing w:val="-3"/>
          <w:sz w:val="18"/>
        </w:rPr>
        <w:t xml:space="preserve"> </w:t>
      </w:r>
      <w:r>
        <w:rPr>
          <w:sz w:val="18"/>
        </w:rPr>
        <w:t>INTEREST</w:t>
      </w:r>
    </w:p>
    <w:p w14:paraId="5BAC23E1" w14:textId="77777777" w:rsidR="003758F7" w:rsidRDefault="00E05B7A">
      <w:pPr>
        <w:pStyle w:val="BodyText"/>
        <w:ind w:right="143"/>
      </w:pPr>
      <w:r>
        <w:t>The Supplier covenants that it presently has no interest and shall not acquire any interest, direct or indirect, which could conflict in any manner or degree with the performance of the services under this Contract. The Supplier further covenants that in the performance of this Contract no person having any such interest shall be employed. The Supplier further covenants that no officer, agent, or employee of the City and no other public official who exercise any functions or responsibilities in the review or approval of the undertaking or carrying out of this Contract has any personal or financial interest, direct or indirect, in this Contract or in the proceeds thereof via corporate entity, partnership, or otherwise. The Supplier also hereby warrants that it will not and has not employed any person to solicit or secure this Contract upon any agreement or arrangement for payment of a commission, percentage, brokerage, contingent fee, other than bona fide employees working solely for the Supplier either directly or indirectly, and that if this Warranty is breached, the City may, at its option, terminate this Contract without penalty, liability or obligation, or may, at its election, deduct from any amounts owed to the Supplier hereunder, any amounts of any such commission, percentage, brokerage, or contingent fee.</w:t>
      </w:r>
    </w:p>
    <w:p w14:paraId="75E954F0" w14:textId="77777777" w:rsidR="003758F7" w:rsidRDefault="003758F7">
      <w:pPr>
        <w:pStyle w:val="BodyText"/>
        <w:spacing w:before="2"/>
        <w:ind w:left="0"/>
      </w:pPr>
    </w:p>
    <w:p w14:paraId="136C721A" w14:textId="77777777" w:rsidR="003758F7" w:rsidRDefault="00E05B7A">
      <w:pPr>
        <w:pStyle w:val="BodyText"/>
        <w:ind w:right="94"/>
      </w:pPr>
      <w:r>
        <w:t>In accordance with Section 4-122 of the Detroit City Charter, the contractor shall provide a statement listing all political contributions and expenditures ("Statement of Political Contributions and Expenditures"), as defined by the Michigan Campaign Finance Act, MCL 169.201, et seq., made by the contractor, its affiliates, subsidiaries, principals, officers, owners, directors, agents or assigns, to elective City officials within the previous four (4) years. Individuals</w:t>
      </w:r>
    </w:p>
    <w:p w14:paraId="42620D1D" w14:textId="77777777" w:rsidR="003758F7" w:rsidRDefault="003758F7">
      <w:pPr>
        <w:sectPr w:rsidR="003758F7" w:rsidSect="00340859">
          <w:pgSz w:w="12240" w:h="15840"/>
          <w:pgMar w:top="1520" w:right="980" w:bottom="1440" w:left="800" w:header="729" w:footer="1255" w:gutter="0"/>
          <w:cols w:space="720"/>
        </w:sectPr>
      </w:pPr>
    </w:p>
    <w:p w14:paraId="469DD7D1" w14:textId="77777777" w:rsidR="003758F7" w:rsidRDefault="00E05B7A">
      <w:pPr>
        <w:pStyle w:val="BodyText"/>
        <w:spacing w:before="44"/>
        <w:ind w:right="179"/>
      </w:pPr>
      <w:r>
        <w:lastRenderedPageBreak/>
        <w:t>shall also list any contributions or expenditures from their spouses. The Contract is not valid unless and until the Statement of Political Contributions and Expenditures is provided. The Statement of Political Contributions and Expenditures shall be filed by the contractor on an annual basis for the duration of the Contract, shall be current up to and including the date of its filing, and shall also be filed with all contract renewals and change orders, if any.</w:t>
      </w:r>
    </w:p>
    <w:p w14:paraId="306D554D" w14:textId="77777777" w:rsidR="003758F7" w:rsidRDefault="003758F7">
      <w:pPr>
        <w:pStyle w:val="BodyText"/>
        <w:spacing w:before="5"/>
        <w:ind w:left="0"/>
      </w:pPr>
    </w:p>
    <w:p w14:paraId="6D6E45C9" w14:textId="77777777" w:rsidR="003758F7" w:rsidRDefault="00E05B7A">
      <w:pPr>
        <w:pStyle w:val="ListParagraph"/>
        <w:numPr>
          <w:ilvl w:val="0"/>
          <w:numId w:val="1"/>
        </w:numPr>
        <w:tabs>
          <w:tab w:val="left" w:pos="1042"/>
        </w:tabs>
        <w:spacing w:line="207" w:lineRule="exact"/>
        <w:ind w:hanging="361"/>
        <w:rPr>
          <w:sz w:val="18"/>
        </w:rPr>
      </w:pPr>
      <w:r>
        <w:rPr>
          <w:sz w:val="18"/>
        </w:rPr>
        <w:t>CHANGE IN SUPPLIER</w:t>
      </w:r>
      <w:r>
        <w:rPr>
          <w:spacing w:val="-1"/>
          <w:sz w:val="18"/>
        </w:rPr>
        <w:t xml:space="preserve"> </w:t>
      </w:r>
      <w:r>
        <w:rPr>
          <w:sz w:val="18"/>
        </w:rPr>
        <w:t>INFORMATION</w:t>
      </w:r>
    </w:p>
    <w:p w14:paraId="3A780F8E" w14:textId="77777777" w:rsidR="003758F7" w:rsidRDefault="00E05B7A">
      <w:pPr>
        <w:pStyle w:val="BodyText"/>
        <w:ind w:right="84"/>
      </w:pPr>
      <w:r>
        <w:t>Supplier shall notify the Office of Contracting and Procurement upon any change of address, telephone number, facsimile number and electronic mail address, where applicable, within five (5) business days of such change. The notice shall be</w:t>
      </w:r>
      <w:hyperlink r:id="rId13">
        <w:r>
          <w:t xml:space="preserve"> submitted in writing to procurementinthecloud@detroitmi.gov </w:t>
        </w:r>
      </w:hyperlink>
      <w:r>
        <w:t>identified on the Purchase Order and shall include all of Supplier's changed information and the effective date of such change.</w:t>
      </w:r>
    </w:p>
    <w:p w14:paraId="2AF984D7" w14:textId="77777777" w:rsidR="003758F7" w:rsidRDefault="003758F7">
      <w:pPr>
        <w:pStyle w:val="BodyText"/>
        <w:spacing w:before="10"/>
        <w:ind w:left="0"/>
        <w:rPr>
          <w:sz w:val="17"/>
        </w:rPr>
      </w:pPr>
    </w:p>
    <w:p w14:paraId="416A062B" w14:textId="77777777" w:rsidR="003758F7" w:rsidRDefault="00E05B7A">
      <w:pPr>
        <w:pStyle w:val="ListParagraph"/>
        <w:numPr>
          <w:ilvl w:val="0"/>
          <w:numId w:val="1"/>
        </w:numPr>
        <w:tabs>
          <w:tab w:val="left" w:pos="1042"/>
        </w:tabs>
        <w:ind w:hanging="361"/>
        <w:rPr>
          <w:sz w:val="18"/>
        </w:rPr>
      </w:pPr>
      <w:r>
        <w:rPr>
          <w:sz w:val="18"/>
        </w:rPr>
        <w:t>TAXPAYER IDENTIFICATION NUMBER</w:t>
      </w:r>
    </w:p>
    <w:p w14:paraId="1B7B8633" w14:textId="77777777" w:rsidR="003758F7" w:rsidRDefault="00E05B7A">
      <w:pPr>
        <w:pStyle w:val="BodyText"/>
        <w:spacing w:before="5"/>
        <w:ind w:right="154"/>
      </w:pPr>
      <w:r>
        <w:t>Supplier shall notify the Chief Procurement Officer and the Income Tax Administrator of the City upon the change of Supplier's taxpayer identification number. Such notification shall be in writing; shall include at a minimum, the Supplier's taxpayer identification number in use by the City, Supplier's new taxpayer identification number and all contract and purchase order numbers under which the Supplier is currently providing goods and services to the City; and, shall be electronically submitted to the City within five (5) business days of Supplier's receipt of confirmation of the registration of the new taxpayer identification number by the Internal Revenue Service. Failure of the Supplier to supply the information required, may be deemed and event of default at the sole discretion of the City.</w:t>
      </w:r>
    </w:p>
    <w:p w14:paraId="6CD81F8D" w14:textId="77777777" w:rsidR="003758F7" w:rsidRDefault="003758F7">
      <w:pPr>
        <w:pStyle w:val="BodyText"/>
        <w:spacing w:before="3"/>
        <w:ind w:left="0"/>
      </w:pPr>
    </w:p>
    <w:p w14:paraId="3A3F59F0" w14:textId="77777777" w:rsidR="003758F7" w:rsidRDefault="00E05B7A">
      <w:pPr>
        <w:pStyle w:val="ListParagraph"/>
        <w:numPr>
          <w:ilvl w:val="0"/>
          <w:numId w:val="1"/>
        </w:numPr>
        <w:tabs>
          <w:tab w:val="left" w:pos="1042"/>
        </w:tabs>
        <w:spacing w:line="207" w:lineRule="exact"/>
        <w:ind w:hanging="361"/>
        <w:rPr>
          <w:sz w:val="18"/>
        </w:rPr>
      </w:pPr>
      <w:r>
        <w:rPr>
          <w:sz w:val="18"/>
        </w:rPr>
        <w:t>SETOFF</w:t>
      </w:r>
    </w:p>
    <w:p w14:paraId="2B6A0D74" w14:textId="77777777" w:rsidR="003758F7" w:rsidRDefault="00E05B7A">
      <w:pPr>
        <w:pStyle w:val="BodyText"/>
        <w:ind w:right="123"/>
      </w:pPr>
      <w:r>
        <w:t>In addition to Supplier's obligation to not become in arrears to the City for any obligation owed to the City, City shall have the right to recover from payment owed to Supplier by City, delinquent withholding, corporate and property tax liabilities owed to the City by Supplier. The City's right of recovery shall be a setoff against those payments owing to Supplier by virtue of this, or any current City Contract. The City will provide written notice to Supplier of any intention to invoke its right to setoff payments due to Supplier under this Contract against delinquent withholding, corporate and property tax liabilities owed. Such written notice shall be delivered to Supplier at the address provided in the Contract/Purchase Order.</w:t>
      </w:r>
    </w:p>
    <w:p w14:paraId="1E92D6A3" w14:textId="77777777" w:rsidR="003758F7" w:rsidRDefault="003758F7">
      <w:pPr>
        <w:pStyle w:val="BodyText"/>
        <w:spacing w:before="2"/>
        <w:ind w:left="0"/>
      </w:pPr>
    </w:p>
    <w:p w14:paraId="0240E73D" w14:textId="77777777" w:rsidR="003758F7" w:rsidRDefault="00E05B7A">
      <w:pPr>
        <w:pStyle w:val="ListParagraph"/>
        <w:numPr>
          <w:ilvl w:val="0"/>
          <w:numId w:val="1"/>
        </w:numPr>
        <w:tabs>
          <w:tab w:val="left" w:pos="1042"/>
        </w:tabs>
        <w:spacing w:line="207" w:lineRule="exact"/>
        <w:ind w:hanging="361"/>
        <w:rPr>
          <w:sz w:val="18"/>
        </w:rPr>
      </w:pPr>
      <w:r>
        <w:rPr>
          <w:sz w:val="18"/>
        </w:rPr>
        <w:t>SUPPLIER</w:t>
      </w:r>
      <w:r>
        <w:rPr>
          <w:spacing w:val="-1"/>
          <w:sz w:val="18"/>
        </w:rPr>
        <w:t xml:space="preserve"> </w:t>
      </w:r>
      <w:r>
        <w:rPr>
          <w:sz w:val="18"/>
        </w:rPr>
        <w:t>COMMITMENT</w:t>
      </w:r>
    </w:p>
    <w:p w14:paraId="0EF3AF3C" w14:textId="77777777" w:rsidR="003758F7" w:rsidRDefault="00E05B7A">
      <w:pPr>
        <w:pStyle w:val="BodyText"/>
        <w:ind w:right="374"/>
      </w:pPr>
      <w:r>
        <w:t>By submitting this bid or proposal, the Supplier commits and legally binds itself to provide to the City of Detroit the goods/services in this bid at the time, place, manner and pricing set forth in the bid as accepted by the City.</w:t>
      </w:r>
    </w:p>
    <w:p w14:paraId="35963A63" w14:textId="77777777" w:rsidR="003758F7" w:rsidRDefault="00E05B7A">
      <w:pPr>
        <w:pStyle w:val="ListParagraph"/>
        <w:numPr>
          <w:ilvl w:val="0"/>
          <w:numId w:val="1"/>
        </w:numPr>
        <w:tabs>
          <w:tab w:val="left" w:pos="1042"/>
        </w:tabs>
        <w:spacing w:before="174"/>
        <w:ind w:hanging="361"/>
        <w:rPr>
          <w:sz w:val="18"/>
        </w:rPr>
      </w:pPr>
      <w:r>
        <w:rPr>
          <w:sz w:val="18"/>
        </w:rPr>
        <w:t>OFFICE OF THE INSPECTOR</w:t>
      </w:r>
      <w:r>
        <w:rPr>
          <w:spacing w:val="-1"/>
          <w:sz w:val="18"/>
        </w:rPr>
        <w:t xml:space="preserve"> </w:t>
      </w:r>
      <w:r>
        <w:rPr>
          <w:sz w:val="18"/>
        </w:rPr>
        <w:t>GENERAL</w:t>
      </w:r>
    </w:p>
    <w:p w14:paraId="5F4AAB2D" w14:textId="77777777" w:rsidR="003758F7" w:rsidRDefault="00E05B7A">
      <w:pPr>
        <w:pStyle w:val="BodyText"/>
        <w:spacing w:before="2"/>
        <w:ind w:right="84"/>
      </w:pPr>
      <w:r>
        <w:t>In accordance with Section 2-106.6 of the City Charter, any Contract resulting from this bid shall be voidable or rescindable at the discretion of the Mayor or Inspector General at any time if a Public Servant who is a party to any Contract resulting from this bid has an interest in the Contract and fails to disclose such interest.</w:t>
      </w:r>
    </w:p>
    <w:p w14:paraId="4E95B490" w14:textId="77777777" w:rsidR="003758F7" w:rsidRDefault="003758F7">
      <w:pPr>
        <w:pStyle w:val="BodyText"/>
        <w:spacing w:before="1"/>
        <w:ind w:left="0"/>
        <w:rPr>
          <w:sz w:val="26"/>
        </w:rPr>
      </w:pPr>
    </w:p>
    <w:p w14:paraId="603CE2A2" w14:textId="77777777" w:rsidR="003758F7" w:rsidRDefault="00E05B7A">
      <w:pPr>
        <w:pStyle w:val="BodyText"/>
        <w:spacing w:before="1"/>
        <w:ind w:right="154"/>
      </w:pPr>
      <w:r>
        <w:t>This Contract shall also be voidable or rescindable if a lobbyist or employee of the contracting party offers a prohibited gift, gratuity, honoraria or payment to a Public Servant in relation to any Contract resulting from this bid. A fine shall be assessed to the Contractor in the event of a violation of Section 2-106.6 of the City Charter. If applicable, the actions of the Contractor, and its representative lobbyist or employee, shall be referred to the appropriate prosecuting authorities.</w:t>
      </w:r>
    </w:p>
    <w:p w14:paraId="1ACF5764" w14:textId="77777777" w:rsidR="003758F7" w:rsidRDefault="003758F7">
      <w:pPr>
        <w:pStyle w:val="BodyText"/>
        <w:spacing w:before="6"/>
        <w:ind w:left="0"/>
      </w:pPr>
    </w:p>
    <w:p w14:paraId="1F585871" w14:textId="77777777" w:rsidR="003758F7" w:rsidRDefault="00E05B7A">
      <w:pPr>
        <w:pStyle w:val="BodyText"/>
        <w:ind w:right="244"/>
      </w:pPr>
      <w:r>
        <w:t>Pursuant to Section 7.5-306 of the City Charter, the Inspector General shall investigate any Public Servant, City agency, program or official act, contractor and subcontractor providing goods and services to the City, business entity seeking contracts or certification of eligibility for City contracts and person seeking certification of eligibility for participation in any City program, either in response to a complaint or on the Inspector General's own initiative in order to detect and prevent waste, abuse, fraud and corruption.</w:t>
      </w:r>
    </w:p>
    <w:p w14:paraId="1B45BAF9" w14:textId="77777777" w:rsidR="003758F7" w:rsidRDefault="003758F7">
      <w:pPr>
        <w:pStyle w:val="BodyText"/>
        <w:spacing w:before="6"/>
        <w:ind w:left="0"/>
      </w:pPr>
    </w:p>
    <w:p w14:paraId="5D22A6B7" w14:textId="77777777" w:rsidR="003758F7" w:rsidRDefault="00E05B7A">
      <w:pPr>
        <w:pStyle w:val="BodyText"/>
      </w:pPr>
      <w:r>
        <w:t>Any Public Servant who willfully and without justification or excuse obstructs an investigation of the Inspector</w:t>
      </w:r>
    </w:p>
    <w:p w14:paraId="1562A688" w14:textId="77777777" w:rsidR="003758F7" w:rsidRDefault="003758F7">
      <w:pPr>
        <w:pStyle w:val="BodyText"/>
        <w:spacing w:before="1"/>
        <w:ind w:left="0"/>
      </w:pPr>
    </w:p>
    <w:p w14:paraId="049B600A" w14:textId="77777777" w:rsidR="003758F7" w:rsidRDefault="00E05B7A">
      <w:pPr>
        <w:pStyle w:val="BodyText"/>
        <w:spacing w:before="1"/>
        <w:ind w:right="84"/>
      </w:pPr>
      <w:r>
        <w:t>General by withholding documents or testimony, is subject to forfeiture of office, discipline, debarment or any other applicable penalty.</w:t>
      </w:r>
    </w:p>
    <w:p w14:paraId="57C00EB0" w14:textId="77777777" w:rsidR="003758F7" w:rsidRDefault="003758F7">
      <w:pPr>
        <w:sectPr w:rsidR="003758F7" w:rsidSect="00340859">
          <w:pgSz w:w="12240" w:h="15840"/>
          <w:pgMar w:top="1520" w:right="980" w:bottom="1440" w:left="800" w:header="729" w:footer="1255" w:gutter="0"/>
          <w:cols w:space="720"/>
        </w:sectPr>
      </w:pPr>
    </w:p>
    <w:p w14:paraId="7E005278" w14:textId="77777777" w:rsidR="003758F7" w:rsidRDefault="00E05B7A">
      <w:pPr>
        <w:pStyle w:val="BodyText"/>
        <w:spacing w:before="44" w:line="276" w:lineRule="auto"/>
        <w:ind w:left="1000" w:right="84"/>
      </w:pPr>
      <w:r>
        <w:lastRenderedPageBreak/>
        <w:t>In accordance with Section 7.5-310 of the City Charter, it shall be the duty of every Public Servant, contractor, subcontractor, and licensee of the City, and every applicant for certification of eligibility for a City contract or program, to cooperate with the Inspector General in any investigation pursuant to Article 7.5, Chapter 3 of the City Charter.</w:t>
      </w:r>
    </w:p>
    <w:sectPr w:rsidR="003758F7">
      <w:pgSz w:w="12240" w:h="15840"/>
      <w:pgMar w:top="1520" w:right="980" w:bottom="1440" w:left="800" w:header="729" w:footer="1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E8094" w14:textId="77777777" w:rsidR="00EB7F44" w:rsidRDefault="00EB7F44">
      <w:r>
        <w:separator/>
      </w:r>
    </w:p>
  </w:endnote>
  <w:endnote w:type="continuationSeparator" w:id="0">
    <w:p w14:paraId="1FC9A6E8" w14:textId="77777777" w:rsidR="00EB7F44" w:rsidRDefault="00EB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E131" w14:textId="77777777" w:rsidR="003758F7" w:rsidRDefault="00523495">
    <w:pPr>
      <w:pStyle w:val="BodyText"/>
      <w:spacing w:line="14" w:lineRule="auto"/>
      <w:ind w:left="0"/>
      <w:rPr>
        <w:sz w:val="20"/>
      </w:rPr>
    </w:pPr>
    <w:r>
      <w:rPr>
        <w:noProof/>
      </w:rPr>
      <mc:AlternateContent>
        <mc:Choice Requires="wps">
          <w:drawing>
            <wp:anchor distT="0" distB="0" distL="114300" distR="114300" simplePos="0" relativeHeight="251439104" behindDoc="1" locked="0" layoutInCell="1" allowOverlap="1" wp14:anchorId="319B195F" wp14:editId="26290D88">
              <wp:simplePos x="0" y="0"/>
              <wp:positionH relativeFrom="page">
                <wp:posOffset>6078220</wp:posOffset>
              </wp:positionH>
              <wp:positionV relativeFrom="page">
                <wp:posOffset>9121775</wp:posOffset>
              </wp:positionV>
              <wp:extent cx="65214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31451" w14:textId="77777777" w:rsidR="003758F7" w:rsidRDefault="00E05B7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0C04B0">
                            <w:rPr>
                              <w:rFonts w:ascii="Calibri"/>
                              <w:b/>
                              <w:noProof/>
                            </w:rPr>
                            <w:t>7</w:t>
                          </w:r>
                          <w:r>
                            <w:fldChar w:fldCharType="end"/>
                          </w:r>
                          <w:r>
                            <w:rPr>
                              <w:rFonts w:ascii="Calibri"/>
                              <w:b/>
                            </w:rPr>
                            <w:t xml:space="preserve"> </w:t>
                          </w:r>
                          <w:r>
                            <w:rPr>
                              <w:rFonts w:ascii="Calibri"/>
                            </w:rPr>
                            <w:t xml:space="preserve">of </w:t>
                          </w:r>
                          <w:r>
                            <w:rPr>
                              <w:rFonts w:ascii="Calibri"/>
                              <w:b/>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B195F" id="_x0000_t202" coordsize="21600,21600" o:spt="202" path="m,l,21600r21600,l21600,xe">
              <v:stroke joinstyle="miter"/>
              <v:path gradientshapeok="t" o:connecttype="rect"/>
            </v:shapetype>
            <v:shape id="Text Box 1" o:spid="_x0000_s1027" type="#_x0000_t202" style="position:absolute;margin-left:478.6pt;margin-top:718.25pt;width:51.35pt;height:13.0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" filled="f" stroked="f">
              <v:textbox inset="0,0,0,0">
                <w:txbxContent>
                  <w:p w14:paraId="12931451" w14:textId="77777777" w:rsidR="003758F7" w:rsidRDefault="00E05B7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0C04B0">
                      <w:rPr>
                        <w:rFonts w:ascii="Calibri"/>
                        <w:b/>
                        <w:noProof/>
                      </w:rPr>
                      <w:t>7</w:t>
                    </w:r>
                    <w:r>
                      <w:fldChar w:fldCharType="end"/>
                    </w:r>
                    <w:r>
                      <w:rPr>
                        <w:rFonts w:ascii="Calibri"/>
                        <w:b/>
                      </w:rPr>
                      <w:t xml:space="preserve"> </w:t>
                    </w:r>
                    <w:r>
                      <w:rPr>
                        <w:rFonts w:ascii="Calibri"/>
                      </w:rPr>
                      <w:t xml:space="preserve">of </w:t>
                    </w:r>
                    <w:r>
                      <w:rPr>
                        <w:rFonts w:ascii="Calibri"/>
                        <w:b/>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36EE7" w14:textId="77777777" w:rsidR="00EB7F44" w:rsidRDefault="00EB7F44">
      <w:r>
        <w:separator/>
      </w:r>
    </w:p>
  </w:footnote>
  <w:footnote w:type="continuationSeparator" w:id="0">
    <w:p w14:paraId="0C39473D" w14:textId="77777777" w:rsidR="00EB7F44" w:rsidRDefault="00EB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99C2A" w14:textId="77777777" w:rsidR="003758F7" w:rsidRDefault="00523495">
    <w:pPr>
      <w:pStyle w:val="BodyText"/>
      <w:spacing w:line="14" w:lineRule="auto"/>
      <w:ind w:left="0"/>
      <w:rPr>
        <w:sz w:val="20"/>
      </w:rPr>
    </w:pPr>
    <w:r>
      <w:rPr>
        <w:noProof/>
      </w:rPr>
      <mc:AlternateContent>
        <mc:Choice Requires="wps">
          <w:drawing>
            <wp:anchor distT="0" distB="0" distL="114300" distR="114300" simplePos="0" relativeHeight="251438080" behindDoc="1" locked="0" layoutInCell="1" allowOverlap="1" wp14:anchorId="02619002" wp14:editId="73DE48C8">
              <wp:simplePos x="0" y="0"/>
              <wp:positionH relativeFrom="page">
                <wp:posOffset>1552575</wp:posOffset>
              </wp:positionH>
              <wp:positionV relativeFrom="page">
                <wp:posOffset>450215</wp:posOffset>
              </wp:positionV>
              <wp:extent cx="4324985" cy="528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8E0D8" w14:textId="77777777" w:rsidR="003758F7" w:rsidRDefault="00E05B7A">
                          <w:pPr>
                            <w:spacing w:before="7"/>
                            <w:ind w:left="7" w:right="7"/>
                            <w:jc w:val="center"/>
                            <w:rPr>
                              <w:b/>
                              <w:sz w:val="40"/>
                            </w:rPr>
                          </w:pPr>
                          <w:r>
                            <w:rPr>
                              <w:b/>
                              <w:color w:val="2C67AD"/>
                              <w:sz w:val="40"/>
                            </w:rPr>
                            <w:t>DETROIT WATER AND SEWERAGE</w:t>
                          </w:r>
                        </w:p>
                        <w:p w14:paraId="59D6680D" w14:textId="0A30FAD1" w:rsidR="003758F7" w:rsidRDefault="00E05B7A">
                          <w:pPr>
                            <w:spacing w:before="70"/>
                            <w:ind w:left="7" w:right="7"/>
                            <w:jc w:val="center"/>
                            <w:rPr>
                              <w:b/>
                              <w:sz w:val="24"/>
                            </w:rPr>
                          </w:pPr>
                          <w:r w:rsidRPr="00235B66">
                            <w:rPr>
                              <w:b/>
                              <w:sz w:val="24"/>
                            </w:rPr>
                            <w:t xml:space="preserve">RFB NO. </w:t>
                          </w:r>
                          <w:r w:rsidR="00A95411">
                            <w:rPr>
                              <w:b/>
                              <w:sz w:val="24"/>
                            </w:rPr>
                            <w:t>5</w:t>
                          </w:r>
                          <w:r w:rsidR="00776C20">
                            <w:rPr>
                              <w:b/>
                              <w:sz w:val="24"/>
                            </w:rPr>
                            <w:t>25583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9002" id="_x0000_t202" coordsize="21600,21600" o:spt="202" path="m,l,21600r21600,l21600,xe">
              <v:stroke joinstyle="miter"/>
              <v:path gradientshapeok="t" o:connecttype="rect"/>
            </v:shapetype>
            <v:shape id="Text Box 2" o:spid="_x0000_s1026" type="#_x0000_t202" style="position:absolute;margin-left:122.25pt;margin-top:35.45pt;width:340.55pt;height:41.6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" filled="f" stroked="f">
              <v:textbox inset="0,0,0,0">
                <w:txbxContent>
                  <w:p w14:paraId="0FF8E0D8" w14:textId="77777777" w:rsidR="003758F7" w:rsidRDefault="00E05B7A">
                    <w:pPr>
                      <w:spacing w:before="7"/>
                      <w:ind w:left="7" w:right="7"/>
                      <w:jc w:val="center"/>
                      <w:rPr>
                        <w:b/>
                        <w:sz w:val="40"/>
                      </w:rPr>
                    </w:pPr>
                    <w:r>
                      <w:rPr>
                        <w:b/>
                        <w:color w:val="2C67AD"/>
                        <w:sz w:val="40"/>
                      </w:rPr>
                      <w:t>DETROIT WATER AND SEWERAGE</w:t>
                    </w:r>
                  </w:p>
                  <w:p w14:paraId="59D6680D" w14:textId="0A30FAD1" w:rsidR="003758F7" w:rsidRDefault="00E05B7A">
                    <w:pPr>
                      <w:spacing w:before="70"/>
                      <w:ind w:left="7" w:right="7"/>
                      <w:jc w:val="center"/>
                      <w:rPr>
                        <w:b/>
                        <w:sz w:val="24"/>
                      </w:rPr>
                    </w:pPr>
                    <w:r w:rsidRPr="00235B66">
                      <w:rPr>
                        <w:b/>
                        <w:sz w:val="24"/>
                      </w:rPr>
                      <w:t xml:space="preserve">RFB NO. </w:t>
                    </w:r>
                    <w:r w:rsidR="00A95411">
                      <w:rPr>
                        <w:b/>
                        <w:sz w:val="24"/>
                      </w:rPr>
                      <w:t>5</w:t>
                    </w:r>
                    <w:r w:rsidR="00776C20">
                      <w:rPr>
                        <w:b/>
                        <w:sz w:val="24"/>
                      </w:rPr>
                      <w:t>25583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91DB5"/>
    <w:multiLevelType w:val="hybridMultilevel"/>
    <w:tmpl w:val="D58AA40C"/>
    <w:lvl w:ilvl="0" w:tplc="CA5E1902">
      <w:start w:val="1"/>
      <w:numFmt w:val="decimal"/>
      <w:lvlText w:val="%1."/>
      <w:lvlJc w:val="left"/>
      <w:pPr>
        <w:ind w:left="1041" w:hanging="360"/>
        <w:jc w:val="left"/>
      </w:pPr>
      <w:rPr>
        <w:rFonts w:ascii="Arial" w:eastAsia="Arial" w:hAnsi="Arial" w:cs="Arial" w:hint="default"/>
        <w:b/>
        <w:bCs/>
        <w:w w:val="99"/>
        <w:sz w:val="18"/>
        <w:szCs w:val="18"/>
      </w:rPr>
    </w:lvl>
    <w:lvl w:ilvl="1" w:tplc="A70CE0D0">
      <w:start w:val="1"/>
      <w:numFmt w:val="lowerRoman"/>
      <w:lvlText w:val="%2."/>
      <w:lvlJc w:val="left"/>
      <w:pPr>
        <w:ind w:left="1761" w:hanging="720"/>
        <w:jc w:val="left"/>
      </w:pPr>
      <w:rPr>
        <w:rFonts w:ascii="Arial" w:eastAsia="Arial" w:hAnsi="Arial" w:cs="Arial" w:hint="default"/>
        <w:spacing w:val="-4"/>
        <w:w w:val="99"/>
        <w:sz w:val="18"/>
        <w:szCs w:val="18"/>
      </w:rPr>
    </w:lvl>
    <w:lvl w:ilvl="2" w:tplc="32568EFC">
      <w:numFmt w:val="bullet"/>
      <w:lvlText w:val="•"/>
      <w:lvlJc w:val="left"/>
      <w:pPr>
        <w:ind w:left="2726" w:hanging="720"/>
      </w:pPr>
      <w:rPr>
        <w:rFonts w:hint="default"/>
      </w:rPr>
    </w:lvl>
    <w:lvl w:ilvl="3" w:tplc="BE38EB82">
      <w:numFmt w:val="bullet"/>
      <w:lvlText w:val="•"/>
      <w:lvlJc w:val="left"/>
      <w:pPr>
        <w:ind w:left="3693" w:hanging="720"/>
      </w:pPr>
      <w:rPr>
        <w:rFonts w:hint="default"/>
      </w:rPr>
    </w:lvl>
    <w:lvl w:ilvl="4" w:tplc="7B0C05C8">
      <w:numFmt w:val="bullet"/>
      <w:lvlText w:val="•"/>
      <w:lvlJc w:val="left"/>
      <w:pPr>
        <w:ind w:left="4660" w:hanging="720"/>
      </w:pPr>
      <w:rPr>
        <w:rFonts w:hint="default"/>
      </w:rPr>
    </w:lvl>
    <w:lvl w:ilvl="5" w:tplc="25BADA62">
      <w:numFmt w:val="bullet"/>
      <w:lvlText w:val="•"/>
      <w:lvlJc w:val="left"/>
      <w:pPr>
        <w:ind w:left="5626" w:hanging="720"/>
      </w:pPr>
      <w:rPr>
        <w:rFonts w:hint="default"/>
      </w:rPr>
    </w:lvl>
    <w:lvl w:ilvl="6" w:tplc="65C22BFA">
      <w:numFmt w:val="bullet"/>
      <w:lvlText w:val="•"/>
      <w:lvlJc w:val="left"/>
      <w:pPr>
        <w:ind w:left="6593" w:hanging="720"/>
      </w:pPr>
      <w:rPr>
        <w:rFonts w:hint="default"/>
      </w:rPr>
    </w:lvl>
    <w:lvl w:ilvl="7" w:tplc="9D401A70">
      <w:numFmt w:val="bullet"/>
      <w:lvlText w:val="•"/>
      <w:lvlJc w:val="left"/>
      <w:pPr>
        <w:ind w:left="7560" w:hanging="720"/>
      </w:pPr>
      <w:rPr>
        <w:rFonts w:hint="default"/>
      </w:rPr>
    </w:lvl>
    <w:lvl w:ilvl="8" w:tplc="9E6E546E">
      <w:numFmt w:val="bullet"/>
      <w:lvlText w:val="•"/>
      <w:lvlJc w:val="left"/>
      <w:pPr>
        <w:ind w:left="8526" w:hanging="720"/>
      </w:pPr>
      <w:rPr>
        <w:rFonts w:hint="default"/>
      </w:rPr>
    </w:lvl>
  </w:abstractNum>
  <w:num w:numId="1" w16cid:durableId="80874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F7"/>
    <w:rsid w:val="000B705A"/>
    <w:rsid w:val="000C04B0"/>
    <w:rsid w:val="0012176E"/>
    <w:rsid w:val="00124F10"/>
    <w:rsid w:val="001A58D7"/>
    <w:rsid w:val="00235B66"/>
    <w:rsid w:val="00247295"/>
    <w:rsid w:val="002620B9"/>
    <w:rsid w:val="002B2EA0"/>
    <w:rsid w:val="002C5429"/>
    <w:rsid w:val="003015CF"/>
    <w:rsid w:val="00340859"/>
    <w:rsid w:val="00372041"/>
    <w:rsid w:val="003758F7"/>
    <w:rsid w:val="00483BB3"/>
    <w:rsid w:val="004A528E"/>
    <w:rsid w:val="004F2698"/>
    <w:rsid w:val="00511BF1"/>
    <w:rsid w:val="005148FF"/>
    <w:rsid w:val="00523495"/>
    <w:rsid w:val="00537EE5"/>
    <w:rsid w:val="005435BE"/>
    <w:rsid w:val="00566C2C"/>
    <w:rsid w:val="005B5BEA"/>
    <w:rsid w:val="00612833"/>
    <w:rsid w:val="00670203"/>
    <w:rsid w:val="006801AB"/>
    <w:rsid w:val="00680978"/>
    <w:rsid w:val="00692B3F"/>
    <w:rsid w:val="00776C20"/>
    <w:rsid w:val="008204E2"/>
    <w:rsid w:val="00837337"/>
    <w:rsid w:val="00870FF3"/>
    <w:rsid w:val="00987EDB"/>
    <w:rsid w:val="009B0B84"/>
    <w:rsid w:val="009E11E3"/>
    <w:rsid w:val="00A31A60"/>
    <w:rsid w:val="00A95411"/>
    <w:rsid w:val="00AB53B7"/>
    <w:rsid w:val="00AF7A20"/>
    <w:rsid w:val="00B045E6"/>
    <w:rsid w:val="00BB7208"/>
    <w:rsid w:val="00BD0ABA"/>
    <w:rsid w:val="00C31580"/>
    <w:rsid w:val="00C61533"/>
    <w:rsid w:val="00CC7EEC"/>
    <w:rsid w:val="00CE58B8"/>
    <w:rsid w:val="00D509AD"/>
    <w:rsid w:val="00DC5A30"/>
    <w:rsid w:val="00DF055B"/>
    <w:rsid w:val="00E05B7A"/>
    <w:rsid w:val="00EA0419"/>
    <w:rsid w:val="00EB7F44"/>
    <w:rsid w:val="00F567AC"/>
    <w:rsid w:val="00F56FAB"/>
    <w:rsid w:val="00F6625A"/>
    <w:rsid w:val="00F9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FB47D"/>
  <w15:docId w15:val="{CC46174A-7BCE-4FAC-9BEB-CA7005E9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1"/>
    </w:pPr>
    <w:rPr>
      <w:sz w:val="18"/>
      <w:szCs w:val="18"/>
    </w:rPr>
  </w:style>
  <w:style w:type="paragraph" w:styleId="ListParagraph">
    <w:name w:val="List Paragraph"/>
    <w:basedOn w:val="Normal"/>
    <w:uiPriority w:val="1"/>
    <w:qFormat/>
    <w:pPr>
      <w:ind w:left="104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3495"/>
    <w:pPr>
      <w:tabs>
        <w:tab w:val="center" w:pos="4680"/>
        <w:tab w:val="right" w:pos="9360"/>
      </w:tabs>
    </w:pPr>
  </w:style>
  <w:style w:type="character" w:customStyle="1" w:styleId="HeaderChar">
    <w:name w:val="Header Char"/>
    <w:basedOn w:val="DefaultParagraphFont"/>
    <w:link w:val="Header"/>
    <w:uiPriority w:val="99"/>
    <w:rsid w:val="00523495"/>
    <w:rPr>
      <w:rFonts w:ascii="Arial" w:eastAsia="Arial" w:hAnsi="Arial" w:cs="Arial"/>
    </w:rPr>
  </w:style>
  <w:style w:type="paragraph" w:styleId="Footer">
    <w:name w:val="footer"/>
    <w:basedOn w:val="Normal"/>
    <w:link w:val="FooterChar"/>
    <w:uiPriority w:val="99"/>
    <w:unhideWhenUsed/>
    <w:rsid w:val="00523495"/>
    <w:pPr>
      <w:tabs>
        <w:tab w:val="center" w:pos="4680"/>
        <w:tab w:val="right" w:pos="9360"/>
      </w:tabs>
    </w:pPr>
  </w:style>
  <w:style w:type="character" w:customStyle="1" w:styleId="FooterChar">
    <w:name w:val="Footer Char"/>
    <w:basedOn w:val="DefaultParagraphFont"/>
    <w:link w:val="Footer"/>
    <w:uiPriority w:val="99"/>
    <w:rsid w:val="0052349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ocurementinthecloud@detroitmi.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etroitm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dsyn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curementinthecloud@detroitmi.gov" TargetMode="External"/><Relationship Id="rId4" Type="http://schemas.openxmlformats.org/officeDocument/2006/relationships/webSettings" Target="webSettings.xml"/><Relationship Id="rId9" Type="http://schemas.openxmlformats.org/officeDocument/2006/relationships/hyperlink" Target="http://www.detroitmi.gov/Suppli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DWSD</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 Ken</dc:creator>
  <cp:lastModifiedBy>Sherry Jones</cp:lastModifiedBy>
  <cp:revision>2</cp:revision>
  <dcterms:created xsi:type="dcterms:W3CDTF">2024-09-26T19:23:00Z</dcterms:created>
  <dcterms:modified xsi:type="dcterms:W3CDTF">2024-09-26T19:23:00Z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 2016</vt:lpwstr>
  </property>
  <property fmtid="{D5CDD505-2E9C-101B-9397-08002B2CF9AE}" pid="4" name="LastSaved">
    <vt:filetime>2020-05-18T00:00:00Z</vt:filetime>
  </property>
</Properties>
</file>